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0BFD" w14:textId="72A5043E" w:rsidR="00B675F6" w:rsidRPr="00EC14F2" w:rsidRDefault="0013770B" w:rsidP="00EC14F2">
      <w:pPr>
        <w:pStyle w:val="Title"/>
        <w:rPr>
          <w:rFonts w:ascii="Verdana" w:hAnsi="Verdana"/>
          <w:sz w:val="40"/>
        </w:rPr>
      </w:pPr>
      <w:bookmarkStart w:id="0" w:name="_GoBack"/>
      <w:bookmarkEnd w:id="0"/>
      <w:r w:rsidRPr="00EC14F2">
        <w:rPr>
          <w:rFonts w:ascii="Verdana" w:hAnsi="Verdana"/>
          <w:sz w:val="40"/>
        </w:rPr>
        <w:t>From institutions to community living for persons with disabilities</w:t>
      </w:r>
      <w:r w:rsidR="003A73E0" w:rsidRPr="00EC14F2">
        <w:rPr>
          <w:rFonts w:ascii="Verdana" w:hAnsi="Verdana"/>
          <w:sz w:val="40"/>
        </w:rPr>
        <w:t xml:space="preserve">: </w:t>
      </w:r>
      <w:r w:rsidRPr="00EC14F2">
        <w:rPr>
          <w:rFonts w:ascii="Verdana" w:hAnsi="Verdana"/>
          <w:sz w:val="40"/>
        </w:rPr>
        <w:t>key</w:t>
      </w:r>
      <w:r w:rsidR="003A73E0" w:rsidRPr="00EC14F2">
        <w:rPr>
          <w:rFonts w:ascii="Verdana" w:hAnsi="Verdana"/>
          <w:sz w:val="40"/>
        </w:rPr>
        <w:t xml:space="preserve"> milestones</w:t>
      </w:r>
      <w:r w:rsidRPr="00EC14F2">
        <w:rPr>
          <w:rFonts w:ascii="Verdana" w:hAnsi="Verdana"/>
          <w:sz w:val="40"/>
        </w:rPr>
        <w:t xml:space="preserve"> </w:t>
      </w:r>
    </w:p>
    <w:p w14:paraId="10AAEBD5" w14:textId="77777777" w:rsidR="002C2BC6" w:rsidRPr="00EC14F2" w:rsidRDefault="002C2BC6" w:rsidP="00EC14F2">
      <w:pPr>
        <w:rPr>
          <w:rFonts w:ascii="Verdana" w:hAnsi="Verdana" w:cs="Times New Roman"/>
        </w:rPr>
      </w:pPr>
    </w:p>
    <w:p w14:paraId="5EFBCAD8" w14:textId="298C9132" w:rsidR="00754848" w:rsidRPr="00EC14F2" w:rsidRDefault="00754848" w:rsidP="00EC14F2">
      <w:pPr>
        <w:rPr>
          <w:rFonts w:ascii="Verdana" w:hAnsi="Verdana" w:cs="Times New Roman"/>
        </w:rPr>
      </w:pPr>
      <w:r w:rsidRPr="00EC14F2">
        <w:rPr>
          <w:rFonts w:ascii="Verdana" w:hAnsi="Verdana" w:cs="Times New Roman"/>
        </w:rPr>
        <w:t>Article 19 of the UN Convention on the Rights of Persons with Disabilities (CRPD) sets out the right of persons with disabilities to live independently and be included in the community on an equal basis with others. Achieving this means ensuring that persons with disabilities living in institutional settings can transition to community-based services with support they choose and control. This process is called deinstitutionalisation.</w:t>
      </w:r>
    </w:p>
    <w:p w14:paraId="758A086C" w14:textId="5C25A928" w:rsidR="00244B4C" w:rsidRPr="00EC14F2" w:rsidRDefault="00344D41" w:rsidP="00EC14F2">
      <w:pPr>
        <w:rPr>
          <w:rFonts w:ascii="Verdana" w:hAnsi="Verdana" w:cs="Times New Roman"/>
        </w:rPr>
      </w:pPr>
      <w:r w:rsidRPr="00EC14F2">
        <w:rPr>
          <w:rFonts w:ascii="Verdana" w:hAnsi="Verdana" w:cs="Times New Roman"/>
          <w:lang w:val="en-GB"/>
        </w:rPr>
        <w:t>R</w:t>
      </w:r>
      <w:r w:rsidR="00166A29" w:rsidRPr="00EC14F2">
        <w:rPr>
          <w:rFonts w:ascii="Verdana" w:hAnsi="Verdana" w:cs="Times New Roman"/>
          <w:lang w:val="en-GB"/>
        </w:rPr>
        <w:t>esearch</w:t>
      </w:r>
      <w:r w:rsidR="00FD6F7C" w:rsidRPr="00EC14F2">
        <w:rPr>
          <w:rFonts w:ascii="Verdana" w:hAnsi="Verdana" w:cs="Times New Roman"/>
          <w:lang w:val="en-GB"/>
        </w:rPr>
        <w:t xml:space="preserve"> by the European </w:t>
      </w:r>
      <w:r w:rsidR="00244B4C" w:rsidRPr="00EC14F2">
        <w:rPr>
          <w:rFonts w:ascii="Verdana" w:hAnsi="Verdana" w:cs="Times New Roman"/>
          <w:lang w:val="en-GB"/>
        </w:rPr>
        <w:t xml:space="preserve">Union </w:t>
      </w:r>
      <w:r w:rsidR="00FD6F7C" w:rsidRPr="00EC14F2">
        <w:rPr>
          <w:rFonts w:ascii="Verdana" w:hAnsi="Verdana" w:cs="Times New Roman"/>
          <w:lang w:val="en-GB"/>
        </w:rPr>
        <w:t>Agency for Fundament</w:t>
      </w:r>
      <w:r w:rsidR="000B3652" w:rsidRPr="00EC14F2">
        <w:rPr>
          <w:rFonts w:ascii="Verdana" w:hAnsi="Verdana" w:cs="Times New Roman"/>
          <w:lang w:val="en-GB"/>
        </w:rPr>
        <w:t>al</w:t>
      </w:r>
      <w:r w:rsidR="00FD6F7C" w:rsidRPr="00EC14F2">
        <w:rPr>
          <w:rFonts w:ascii="Verdana" w:hAnsi="Verdana" w:cs="Times New Roman"/>
          <w:lang w:val="en-GB"/>
        </w:rPr>
        <w:t xml:space="preserve"> Rights (FRA)</w:t>
      </w:r>
      <w:r w:rsidR="00166A29" w:rsidRPr="00EC14F2">
        <w:rPr>
          <w:rFonts w:ascii="Verdana" w:hAnsi="Verdana" w:cs="Times New Roman"/>
          <w:lang w:val="en-GB"/>
        </w:rPr>
        <w:t xml:space="preserve"> </w:t>
      </w:r>
      <w:r w:rsidR="0013770B" w:rsidRPr="00EC14F2">
        <w:rPr>
          <w:rFonts w:ascii="Verdana" w:hAnsi="Verdana" w:cs="Times New Roman"/>
          <w:lang w:val="en-GB"/>
        </w:rPr>
        <w:t xml:space="preserve">in five EU Member States identified </w:t>
      </w:r>
      <w:r w:rsidR="002A5F91" w:rsidRPr="00EC14F2">
        <w:rPr>
          <w:rFonts w:ascii="Verdana" w:hAnsi="Verdana" w:cs="Times New Roman"/>
          <w:lang w:val="en-GB"/>
        </w:rPr>
        <w:t>four</w:t>
      </w:r>
      <w:r w:rsidR="0013770B" w:rsidRPr="00EC14F2">
        <w:rPr>
          <w:rFonts w:ascii="Verdana" w:hAnsi="Verdana" w:cs="Times New Roman"/>
          <w:lang w:val="en-GB"/>
        </w:rPr>
        <w:t xml:space="preserve"> key milestones common to different deinstitutionalisation processes</w:t>
      </w:r>
      <w:r w:rsidR="00166A29" w:rsidRPr="00EC14F2">
        <w:rPr>
          <w:rFonts w:ascii="Verdana" w:hAnsi="Verdana" w:cs="Times New Roman"/>
          <w:lang w:val="en-GB"/>
        </w:rPr>
        <w:t xml:space="preserve">. This factsheet </w:t>
      </w:r>
      <w:r w:rsidR="00934708" w:rsidRPr="00EC14F2">
        <w:rPr>
          <w:rFonts w:ascii="Verdana" w:hAnsi="Verdana" w:cs="Times New Roman"/>
          <w:lang w:val="en-GB"/>
        </w:rPr>
        <w:t>outlines these milestones</w:t>
      </w:r>
      <w:r w:rsidR="00166A29" w:rsidRPr="00EC14F2">
        <w:rPr>
          <w:rFonts w:ascii="Verdana" w:hAnsi="Verdana" w:cs="Times New Roman"/>
          <w:lang w:val="en-GB"/>
        </w:rPr>
        <w:t xml:space="preserve"> and reflects on </w:t>
      </w:r>
      <w:r w:rsidR="00934708" w:rsidRPr="00EC14F2">
        <w:rPr>
          <w:rFonts w:ascii="Verdana" w:hAnsi="Verdana" w:cs="Times New Roman"/>
          <w:lang w:val="en-GB"/>
        </w:rPr>
        <w:t xml:space="preserve">the implications for policymakers responsible for designing and implementing the transition from institutional to community-based support for persons with disabilities. </w:t>
      </w:r>
      <w:r w:rsidR="00244B4C" w:rsidRPr="00EC14F2">
        <w:rPr>
          <w:rFonts w:ascii="Verdana" w:hAnsi="Verdana" w:cs="Times New Roman"/>
        </w:rPr>
        <w:t>The box at the end of this factsheet gives more information about FRA’s research, which took place in Bulgaria, Finland, Ireland, Italy and Slovakia.</w:t>
      </w:r>
    </w:p>
    <w:p w14:paraId="258702A3" w14:textId="699D06BC" w:rsidR="00934708" w:rsidRPr="00EC14F2" w:rsidRDefault="00244B4C" w:rsidP="00EC14F2">
      <w:pPr>
        <w:tabs>
          <w:tab w:val="left" w:pos="6405"/>
        </w:tabs>
        <w:rPr>
          <w:rFonts w:ascii="Verdana" w:hAnsi="Verdana" w:cs="Times New Roman"/>
          <w:b/>
          <w:lang w:val="en-GB"/>
        </w:rPr>
      </w:pPr>
      <w:r w:rsidRPr="00EC14F2">
        <w:rPr>
          <w:rFonts w:ascii="Verdana" w:hAnsi="Verdana" w:cs="Times New Roman"/>
          <w:b/>
          <w:lang w:val="en-GB"/>
        </w:rPr>
        <w:t xml:space="preserve">Figure </w:t>
      </w:r>
      <w:r w:rsidR="004047F7" w:rsidRPr="00EC14F2">
        <w:rPr>
          <w:rFonts w:ascii="Verdana" w:hAnsi="Verdana" w:cs="Times New Roman"/>
          <w:b/>
          <w:lang w:val="en-GB"/>
        </w:rPr>
        <w:t>1</w:t>
      </w:r>
      <w:r w:rsidRPr="00EC14F2">
        <w:rPr>
          <w:rFonts w:ascii="Verdana" w:hAnsi="Verdana" w:cs="Times New Roman"/>
          <w:b/>
          <w:lang w:val="en-GB"/>
        </w:rPr>
        <w:t>: Key milestones in the deinstitutionalisation process</w:t>
      </w:r>
    </w:p>
    <w:p w14:paraId="7C825D4C" w14:textId="0EE2EE0F" w:rsidR="00A76D99" w:rsidRPr="00EC14F2" w:rsidRDefault="00934708" w:rsidP="00EC14F2">
      <w:pPr>
        <w:tabs>
          <w:tab w:val="left" w:pos="6405"/>
        </w:tabs>
        <w:rPr>
          <w:rFonts w:ascii="Verdana" w:hAnsi="Verdana"/>
          <w:b/>
          <w:lang w:val="en-GB"/>
        </w:rPr>
      </w:pPr>
      <w:r w:rsidRPr="00EC14F2">
        <w:rPr>
          <w:rFonts w:ascii="Verdana" w:hAnsi="Verdana"/>
          <w:b/>
          <w:noProof/>
          <w:lang w:val="en-GB" w:eastAsia="en-GB"/>
        </w:rPr>
        <w:lastRenderedPageBreak/>
        <w:drawing>
          <wp:inline distT="0" distB="0" distL="0" distR="0" wp14:anchorId="11A4F4D2" wp14:editId="06F5B073">
            <wp:extent cx="5688419" cy="2509284"/>
            <wp:effectExtent l="0" t="0" r="0" b="57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880C1D" w14:textId="5636271F" w:rsidR="00A76D99" w:rsidRPr="00EC14F2" w:rsidRDefault="00B00521" w:rsidP="00EC14F2">
      <w:pPr>
        <w:rPr>
          <w:rFonts w:ascii="Verdana" w:hAnsi="Verdana" w:cs="Times New Roman"/>
          <w:i/>
          <w:lang w:val="en-GB"/>
        </w:rPr>
      </w:pPr>
      <w:r w:rsidRPr="00EC14F2">
        <w:rPr>
          <w:rFonts w:ascii="Verdana" w:hAnsi="Verdana" w:cs="Times New Roman"/>
          <w:i/>
          <w:lang w:val="en-GB"/>
        </w:rPr>
        <w:t>Source: FRA (2018)</w:t>
      </w:r>
    </w:p>
    <w:p w14:paraId="5E1F13C1" w14:textId="48185A33" w:rsidR="00630888" w:rsidRPr="00EC14F2" w:rsidRDefault="00630888" w:rsidP="00EC14F2">
      <w:pPr>
        <w:tabs>
          <w:tab w:val="left" w:pos="1740"/>
        </w:tabs>
        <w:rPr>
          <w:rFonts w:ascii="Verdana" w:hAnsi="Verdana" w:cs="Times New Roman"/>
          <w:lang w:val="en-GB"/>
        </w:rPr>
      </w:pPr>
      <w:r w:rsidRPr="00EC14F2">
        <w:rPr>
          <w:rFonts w:ascii="Verdana" w:hAnsi="Verdana" w:cs="Times New Roman"/>
          <w:lang w:val="en-GB"/>
        </w:rPr>
        <w:t xml:space="preserve">FRA’s research indicates </w:t>
      </w:r>
      <w:r w:rsidR="002A5F91" w:rsidRPr="00EC14F2">
        <w:rPr>
          <w:rFonts w:ascii="Verdana" w:hAnsi="Verdana" w:cs="Times New Roman"/>
          <w:lang w:val="en-GB"/>
        </w:rPr>
        <w:t>four</w:t>
      </w:r>
      <w:r w:rsidRPr="00EC14F2">
        <w:rPr>
          <w:rFonts w:ascii="Verdana" w:hAnsi="Verdana" w:cs="Times New Roman"/>
          <w:lang w:val="en-GB"/>
        </w:rPr>
        <w:t xml:space="preserve"> milestones that typically characterise deinstitutionalisation processes (see </w:t>
      </w:r>
      <w:r w:rsidR="00894C2E" w:rsidRPr="00EC14F2">
        <w:rPr>
          <w:rFonts w:ascii="Verdana" w:hAnsi="Verdana" w:cs="Times New Roman"/>
          <w:lang w:val="en-GB"/>
        </w:rPr>
        <w:t xml:space="preserve">Figure </w:t>
      </w:r>
      <w:r w:rsidR="004047F7" w:rsidRPr="00EC14F2">
        <w:rPr>
          <w:rFonts w:ascii="Verdana" w:hAnsi="Verdana" w:cs="Times New Roman"/>
          <w:lang w:val="en-GB"/>
        </w:rPr>
        <w:t>1</w:t>
      </w:r>
      <w:r w:rsidRPr="00EC14F2">
        <w:rPr>
          <w:rFonts w:ascii="Verdana" w:hAnsi="Verdana" w:cs="Times New Roman"/>
          <w:lang w:val="en-GB"/>
        </w:rPr>
        <w:t>):</w:t>
      </w:r>
    </w:p>
    <w:p w14:paraId="3A7BA42A" w14:textId="66EAFCCD" w:rsidR="006826BD" w:rsidRPr="00EC14F2" w:rsidRDefault="00754848" w:rsidP="00EC14F2">
      <w:pPr>
        <w:pStyle w:val="ListParagraph"/>
        <w:numPr>
          <w:ilvl w:val="0"/>
          <w:numId w:val="4"/>
        </w:numPr>
        <w:tabs>
          <w:tab w:val="left" w:pos="1740"/>
        </w:tabs>
        <w:rPr>
          <w:rFonts w:ascii="Verdana" w:hAnsi="Verdana" w:cs="Times New Roman"/>
          <w:lang w:val="en-GB"/>
        </w:rPr>
      </w:pPr>
      <w:r w:rsidRPr="00EC14F2">
        <w:rPr>
          <w:rFonts w:ascii="Verdana" w:hAnsi="Verdana" w:cs="Times New Roman"/>
          <w:lang w:val="en-GB"/>
        </w:rPr>
        <w:lastRenderedPageBreak/>
        <w:t>Research participants reported that p</w:t>
      </w:r>
      <w:r w:rsidR="00B00521" w:rsidRPr="00EC14F2">
        <w:rPr>
          <w:rFonts w:ascii="Verdana" w:hAnsi="Verdana" w:cs="Times New Roman"/>
          <w:lang w:val="en-GB"/>
        </w:rPr>
        <w:t xml:space="preserve">rogress </w:t>
      </w:r>
      <w:r w:rsidRPr="00EC14F2">
        <w:rPr>
          <w:rFonts w:ascii="Verdana" w:hAnsi="Verdana" w:cs="Times New Roman"/>
          <w:lang w:val="en-GB"/>
        </w:rPr>
        <w:t xml:space="preserve">towards deinstitutionalisation is </w:t>
      </w:r>
      <w:r w:rsidR="00B00521" w:rsidRPr="00EC14F2">
        <w:rPr>
          <w:rFonts w:ascii="Verdana" w:hAnsi="Verdana" w:cs="Times New Roman"/>
          <w:lang w:val="en-GB"/>
        </w:rPr>
        <w:t xml:space="preserve">often very slow until the </w:t>
      </w:r>
      <w:r w:rsidR="00B00521" w:rsidRPr="00EC14F2">
        <w:rPr>
          <w:rFonts w:ascii="Verdana" w:hAnsi="Verdana" w:cs="Times New Roman"/>
          <w:b/>
          <w:lang w:val="en-GB"/>
        </w:rPr>
        <w:t>first win</w:t>
      </w:r>
      <w:r w:rsidR="00B00521" w:rsidRPr="00EC14F2">
        <w:rPr>
          <w:rFonts w:ascii="Verdana" w:hAnsi="Verdana" w:cs="Times New Roman"/>
          <w:lang w:val="en-GB"/>
        </w:rPr>
        <w:t xml:space="preserve"> </w:t>
      </w:r>
      <w:r w:rsidRPr="00EC14F2">
        <w:rPr>
          <w:rFonts w:ascii="Verdana" w:hAnsi="Verdana" w:cs="Times New Roman"/>
          <w:lang w:val="en-GB"/>
        </w:rPr>
        <w:t xml:space="preserve">is </w:t>
      </w:r>
      <w:r w:rsidR="00B00521" w:rsidRPr="00EC14F2">
        <w:rPr>
          <w:rFonts w:ascii="Verdana" w:hAnsi="Verdana" w:cs="Times New Roman"/>
          <w:lang w:val="en-GB"/>
        </w:rPr>
        <w:t>achieved</w:t>
      </w:r>
      <w:r w:rsidRPr="00EC14F2">
        <w:rPr>
          <w:rFonts w:ascii="Verdana" w:hAnsi="Verdana" w:cs="Times New Roman"/>
          <w:lang w:val="en-GB"/>
        </w:rPr>
        <w:t>.</w:t>
      </w:r>
      <w:r w:rsidR="00B00521" w:rsidRPr="00EC14F2">
        <w:rPr>
          <w:rFonts w:ascii="Verdana" w:hAnsi="Verdana" w:cs="Times New Roman"/>
          <w:lang w:val="en-GB"/>
        </w:rPr>
        <w:t xml:space="preserve"> </w:t>
      </w:r>
    </w:p>
    <w:p w14:paraId="0E5AF208" w14:textId="2135614A" w:rsidR="006826BD" w:rsidRPr="00EC14F2" w:rsidRDefault="00754848" w:rsidP="00EC14F2">
      <w:pPr>
        <w:pStyle w:val="ListParagraph"/>
        <w:numPr>
          <w:ilvl w:val="0"/>
          <w:numId w:val="4"/>
        </w:numPr>
        <w:tabs>
          <w:tab w:val="left" w:pos="1740"/>
        </w:tabs>
        <w:rPr>
          <w:rFonts w:ascii="Verdana" w:hAnsi="Verdana" w:cs="Times New Roman"/>
          <w:lang w:val="en-GB"/>
        </w:rPr>
      </w:pPr>
      <w:r w:rsidRPr="00EC14F2">
        <w:rPr>
          <w:rFonts w:ascii="Verdana" w:hAnsi="Verdana" w:cs="Times New Roman"/>
          <w:lang w:val="en-GB"/>
        </w:rPr>
        <w:t>The first win is typically followed by a small acceleration in the speed of deinstitutionalisation. However, it</w:t>
      </w:r>
      <w:r w:rsidR="00B00521" w:rsidRPr="00EC14F2">
        <w:rPr>
          <w:rFonts w:ascii="Verdana" w:hAnsi="Verdana" w:cs="Times New Roman"/>
          <w:lang w:val="en-GB"/>
        </w:rPr>
        <w:t xml:space="preserve"> </w:t>
      </w:r>
      <w:r w:rsidRPr="00EC14F2">
        <w:rPr>
          <w:rFonts w:ascii="Verdana" w:hAnsi="Verdana" w:cs="Times New Roman"/>
          <w:lang w:val="en-GB"/>
        </w:rPr>
        <w:t>is</w:t>
      </w:r>
      <w:r w:rsidR="00B00521" w:rsidRPr="00EC14F2">
        <w:rPr>
          <w:rFonts w:ascii="Verdana" w:hAnsi="Verdana" w:cs="Times New Roman"/>
          <w:lang w:val="en-GB"/>
        </w:rPr>
        <w:t xml:space="preserve"> only after </w:t>
      </w:r>
      <w:r w:rsidR="002A5F91" w:rsidRPr="00EC14F2">
        <w:rPr>
          <w:rFonts w:ascii="Verdana" w:hAnsi="Verdana" w:cs="Times New Roman"/>
          <w:lang w:val="en-GB"/>
        </w:rPr>
        <w:t xml:space="preserve">reaching a </w:t>
      </w:r>
      <w:r w:rsidR="00B00521" w:rsidRPr="00EC14F2">
        <w:rPr>
          <w:rFonts w:ascii="Verdana" w:hAnsi="Verdana" w:cs="Times New Roman"/>
          <w:b/>
          <w:lang w:val="en-GB"/>
        </w:rPr>
        <w:t>tipping point</w:t>
      </w:r>
      <w:r w:rsidR="00B00521" w:rsidRPr="00EC14F2">
        <w:rPr>
          <w:rFonts w:ascii="Verdana" w:hAnsi="Verdana" w:cs="Times New Roman"/>
          <w:lang w:val="en-GB"/>
        </w:rPr>
        <w:t xml:space="preserve"> that </w:t>
      </w:r>
      <w:r w:rsidR="002A5F91" w:rsidRPr="00EC14F2">
        <w:rPr>
          <w:rFonts w:ascii="Verdana" w:hAnsi="Verdana" w:cs="Times New Roman"/>
          <w:lang w:val="en-GB"/>
        </w:rPr>
        <w:t>deinstitutionalisation proceeds more rapidly, participants said</w:t>
      </w:r>
      <w:r w:rsidR="00B00521" w:rsidRPr="00EC14F2">
        <w:rPr>
          <w:rFonts w:ascii="Verdana" w:hAnsi="Verdana" w:cs="Times New Roman"/>
          <w:lang w:val="en-GB"/>
        </w:rPr>
        <w:t>.</w:t>
      </w:r>
    </w:p>
    <w:p w14:paraId="7E5DFBA6" w14:textId="7038F778" w:rsidR="006826BD" w:rsidRPr="00EC14F2" w:rsidRDefault="002A5F91" w:rsidP="00EC14F2">
      <w:pPr>
        <w:pStyle w:val="ListParagraph"/>
        <w:numPr>
          <w:ilvl w:val="0"/>
          <w:numId w:val="4"/>
        </w:numPr>
        <w:tabs>
          <w:tab w:val="left" w:pos="1740"/>
        </w:tabs>
        <w:rPr>
          <w:rFonts w:ascii="Verdana" w:hAnsi="Verdana" w:cs="Times New Roman"/>
          <w:lang w:val="en-GB"/>
        </w:rPr>
      </w:pPr>
      <w:r w:rsidRPr="00EC14F2">
        <w:rPr>
          <w:rFonts w:ascii="Verdana" w:hAnsi="Verdana" w:cs="Times New Roman"/>
          <w:lang w:val="en-GB"/>
        </w:rPr>
        <w:t xml:space="preserve">Deinstitutionalisation processes then often reach </w:t>
      </w:r>
      <w:r w:rsidRPr="00EC14F2">
        <w:rPr>
          <w:rFonts w:ascii="Verdana" w:hAnsi="Verdana" w:cs="Times New Roman"/>
          <w:b/>
          <w:lang w:val="en-GB"/>
        </w:rPr>
        <w:t>the</w:t>
      </w:r>
      <w:r w:rsidR="00B00521" w:rsidRPr="00EC14F2">
        <w:rPr>
          <w:rFonts w:ascii="Verdana" w:hAnsi="Verdana" w:cs="Times New Roman"/>
          <w:b/>
          <w:lang w:val="en-GB"/>
        </w:rPr>
        <w:t xml:space="preserve"> hump</w:t>
      </w:r>
      <w:r w:rsidRPr="00EC14F2">
        <w:rPr>
          <w:rFonts w:ascii="Verdana" w:hAnsi="Verdana" w:cs="Times New Roman"/>
          <w:lang w:val="en-GB"/>
        </w:rPr>
        <w:t xml:space="preserve"> when, participants noted, </w:t>
      </w:r>
      <w:r w:rsidR="00B00521" w:rsidRPr="00EC14F2">
        <w:rPr>
          <w:rFonts w:ascii="Verdana" w:hAnsi="Verdana" w:cs="Times New Roman"/>
          <w:lang w:val="en-GB"/>
        </w:rPr>
        <w:t xml:space="preserve">the </w:t>
      </w:r>
      <w:r w:rsidRPr="00EC14F2">
        <w:rPr>
          <w:rFonts w:ascii="Verdana" w:hAnsi="Verdana" w:cs="Times New Roman"/>
          <w:lang w:val="en-GB"/>
        </w:rPr>
        <w:t>final</w:t>
      </w:r>
      <w:r w:rsidR="00B00521" w:rsidRPr="00EC14F2">
        <w:rPr>
          <w:rFonts w:ascii="Verdana" w:hAnsi="Verdana" w:cs="Times New Roman"/>
          <w:lang w:val="en-GB"/>
        </w:rPr>
        <w:t xml:space="preserve"> stages of closing down an institution </w:t>
      </w:r>
      <w:r w:rsidRPr="00EC14F2">
        <w:rPr>
          <w:rFonts w:ascii="Verdana" w:hAnsi="Verdana" w:cs="Times New Roman"/>
          <w:lang w:val="en-GB"/>
        </w:rPr>
        <w:t xml:space="preserve">prove particularly </w:t>
      </w:r>
      <w:r w:rsidR="00B00521" w:rsidRPr="00EC14F2">
        <w:rPr>
          <w:rFonts w:ascii="Verdana" w:hAnsi="Verdana" w:cs="Times New Roman"/>
          <w:lang w:val="en-GB"/>
        </w:rPr>
        <w:t xml:space="preserve">difficult. </w:t>
      </w:r>
    </w:p>
    <w:p w14:paraId="47D4684A" w14:textId="4916BF72" w:rsidR="00B00521" w:rsidRPr="00EC14F2" w:rsidRDefault="002A5F91" w:rsidP="00EC14F2">
      <w:pPr>
        <w:pStyle w:val="ListParagraph"/>
        <w:numPr>
          <w:ilvl w:val="0"/>
          <w:numId w:val="4"/>
        </w:numPr>
        <w:tabs>
          <w:tab w:val="left" w:pos="1740"/>
        </w:tabs>
        <w:rPr>
          <w:rFonts w:ascii="Verdana" w:hAnsi="Verdana" w:cs="Times New Roman"/>
          <w:lang w:val="en-GB"/>
        </w:rPr>
      </w:pPr>
      <w:r w:rsidRPr="00EC14F2">
        <w:rPr>
          <w:rFonts w:ascii="Verdana" w:hAnsi="Verdana" w:cs="Times New Roman"/>
          <w:lang w:val="en-GB"/>
        </w:rPr>
        <w:t>M</w:t>
      </w:r>
      <w:r w:rsidR="00B00521" w:rsidRPr="00EC14F2">
        <w:rPr>
          <w:rFonts w:ascii="Verdana" w:hAnsi="Verdana" w:cs="Times New Roman"/>
          <w:lang w:val="en-GB"/>
        </w:rPr>
        <w:t xml:space="preserve">any participants </w:t>
      </w:r>
      <w:r w:rsidRPr="00EC14F2">
        <w:rPr>
          <w:rFonts w:ascii="Verdana" w:hAnsi="Verdana" w:cs="Times New Roman"/>
          <w:lang w:val="en-GB"/>
        </w:rPr>
        <w:t>expressed concern that some community-based living arrangements retain institutional characteristics and become ‘mini institutions’. This prompts the</w:t>
      </w:r>
      <w:r w:rsidR="00B00521" w:rsidRPr="00EC14F2">
        <w:rPr>
          <w:rFonts w:ascii="Verdana" w:hAnsi="Verdana" w:cs="Times New Roman"/>
          <w:lang w:val="en-GB"/>
        </w:rPr>
        <w:t xml:space="preserve"> need for a</w:t>
      </w:r>
      <w:r w:rsidR="00242074" w:rsidRPr="00EC14F2">
        <w:rPr>
          <w:rFonts w:ascii="Verdana" w:hAnsi="Verdana" w:cs="Times New Roman"/>
          <w:lang w:val="en-GB"/>
        </w:rPr>
        <w:t xml:space="preserve"> </w:t>
      </w:r>
      <w:r w:rsidR="00242074" w:rsidRPr="00EC14F2">
        <w:rPr>
          <w:rFonts w:ascii="Verdana" w:hAnsi="Verdana" w:cs="Times New Roman"/>
          <w:b/>
          <w:lang w:val="en-GB"/>
        </w:rPr>
        <w:t xml:space="preserve">second </w:t>
      </w:r>
      <w:r w:rsidR="00D86A2A" w:rsidRPr="00EC14F2">
        <w:rPr>
          <w:rFonts w:ascii="Verdana" w:hAnsi="Verdana" w:cs="Times New Roman"/>
          <w:b/>
          <w:lang w:val="en-GB"/>
        </w:rPr>
        <w:t>wave</w:t>
      </w:r>
      <w:r w:rsidR="00242074" w:rsidRPr="00EC14F2">
        <w:rPr>
          <w:rFonts w:ascii="Verdana" w:hAnsi="Verdana" w:cs="Times New Roman"/>
          <w:lang w:val="en-GB"/>
        </w:rPr>
        <w:t xml:space="preserve"> </w:t>
      </w:r>
      <w:r w:rsidR="00B00521" w:rsidRPr="00EC14F2">
        <w:rPr>
          <w:rFonts w:ascii="Verdana" w:hAnsi="Verdana" w:cs="Times New Roman"/>
          <w:lang w:val="en-GB"/>
        </w:rPr>
        <w:t>of deinstitutionalisation</w:t>
      </w:r>
      <w:r w:rsidRPr="00EC14F2">
        <w:rPr>
          <w:rFonts w:ascii="Verdana" w:hAnsi="Verdana" w:cs="Times New Roman"/>
          <w:lang w:val="en-GB"/>
        </w:rPr>
        <w:t xml:space="preserve"> whe</w:t>
      </w:r>
      <w:r w:rsidR="0053314F" w:rsidRPr="00EC14F2">
        <w:rPr>
          <w:rFonts w:ascii="Verdana" w:hAnsi="Verdana" w:cs="Times New Roman"/>
          <w:lang w:val="en-GB"/>
        </w:rPr>
        <w:t>re</w:t>
      </w:r>
      <w:r w:rsidRPr="00EC14F2">
        <w:rPr>
          <w:rFonts w:ascii="Verdana" w:hAnsi="Verdana" w:cs="Times New Roman"/>
          <w:lang w:val="en-GB"/>
        </w:rPr>
        <w:t xml:space="preserve"> people transition to personalised support that they choose and control</w:t>
      </w:r>
      <w:r w:rsidR="00242074" w:rsidRPr="00EC14F2">
        <w:rPr>
          <w:rFonts w:ascii="Verdana" w:hAnsi="Verdana" w:cs="Times New Roman"/>
          <w:lang w:val="en-GB"/>
        </w:rPr>
        <w:t xml:space="preserve">. </w:t>
      </w:r>
    </w:p>
    <w:p w14:paraId="451DB2C6" w14:textId="07531B34" w:rsidR="0053314F" w:rsidRPr="00EC14F2" w:rsidRDefault="0053314F" w:rsidP="00EC14F2">
      <w:pPr>
        <w:rPr>
          <w:rFonts w:ascii="Verdana" w:hAnsi="Verdana" w:cs="Times New Roman"/>
        </w:rPr>
      </w:pPr>
      <w:r w:rsidRPr="00EC14F2">
        <w:rPr>
          <w:rFonts w:ascii="Verdana" w:hAnsi="Verdana" w:cs="Times New Roman"/>
        </w:rPr>
        <w:t xml:space="preserve">Finally, it is important to recognise that deinstitutionalisation is </w:t>
      </w:r>
      <w:r w:rsidR="000B4077" w:rsidRPr="00EC14F2">
        <w:rPr>
          <w:rFonts w:ascii="Verdana" w:hAnsi="Verdana" w:cs="Times New Roman"/>
        </w:rPr>
        <w:t xml:space="preserve">not itself an end goal. Rather, it is </w:t>
      </w:r>
      <w:r w:rsidRPr="00EC14F2">
        <w:rPr>
          <w:rFonts w:ascii="Verdana" w:hAnsi="Verdana" w:cs="Times New Roman"/>
        </w:rPr>
        <w:t xml:space="preserve">one </w:t>
      </w:r>
      <w:r w:rsidR="000B4077" w:rsidRPr="00EC14F2">
        <w:rPr>
          <w:rFonts w:ascii="Verdana" w:hAnsi="Verdana" w:cs="Times New Roman"/>
        </w:rPr>
        <w:t>element of broader efforts</w:t>
      </w:r>
      <w:r w:rsidRPr="00EC14F2">
        <w:rPr>
          <w:rFonts w:ascii="Verdana" w:hAnsi="Verdana" w:cs="Times New Roman"/>
        </w:rPr>
        <w:t xml:space="preserve"> </w:t>
      </w:r>
      <w:r w:rsidR="000B4077" w:rsidRPr="00EC14F2">
        <w:rPr>
          <w:rFonts w:ascii="Verdana" w:hAnsi="Verdana" w:cs="Times New Roman"/>
        </w:rPr>
        <w:t xml:space="preserve">to </w:t>
      </w:r>
      <w:r w:rsidRPr="00EC14F2">
        <w:rPr>
          <w:rFonts w:ascii="Verdana" w:hAnsi="Verdana" w:cs="Times New Roman"/>
        </w:rPr>
        <w:t>ensur</w:t>
      </w:r>
      <w:r w:rsidR="000B4077" w:rsidRPr="00EC14F2">
        <w:rPr>
          <w:rFonts w:ascii="Verdana" w:hAnsi="Verdana" w:cs="Times New Roman"/>
        </w:rPr>
        <w:t>e</w:t>
      </w:r>
      <w:r w:rsidRPr="00EC14F2">
        <w:rPr>
          <w:rFonts w:ascii="Verdana" w:hAnsi="Verdana" w:cs="Times New Roman"/>
        </w:rPr>
        <w:t xml:space="preserve"> that persons with disabilities </w:t>
      </w:r>
      <w:r w:rsidR="000B4077" w:rsidRPr="00EC14F2">
        <w:rPr>
          <w:rFonts w:ascii="Verdana" w:hAnsi="Verdana" w:cs="Times New Roman"/>
        </w:rPr>
        <w:t>can enjoy</w:t>
      </w:r>
      <w:r w:rsidRPr="00EC14F2">
        <w:rPr>
          <w:rFonts w:ascii="Verdana" w:hAnsi="Verdana" w:cs="Times New Roman"/>
        </w:rPr>
        <w:t xml:space="preserve"> the</w:t>
      </w:r>
      <w:r w:rsidR="000B4077" w:rsidRPr="00EC14F2">
        <w:rPr>
          <w:rFonts w:ascii="Verdana" w:hAnsi="Verdana" w:cs="Times New Roman"/>
        </w:rPr>
        <w:t>ir</w:t>
      </w:r>
      <w:r w:rsidRPr="00EC14F2">
        <w:rPr>
          <w:rFonts w:ascii="Verdana" w:hAnsi="Verdana" w:cs="Times New Roman"/>
        </w:rPr>
        <w:t xml:space="preserve"> right to live independently and </w:t>
      </w:r>
      <w:r w:rsidR="000B4077" w:rsidRPr="00EC14F2">
        <w:rPr>
          <w:rFonts w:ascii="Verdana" w:hAnsi="Verdana" w:cs="Times New Roman"/>
        </w:rPr>
        <w:t>be</w:t>
      </w:r>
      <w:r w:rsidRPr="00EC14F2">
        <w:rPr>
          <w:rFonts w:ascii="Verdana" w:hAnsi="Verdana" w:cs="Times New Roman"/>
        </w:rPr>
        <w:t xml:space="preserve"> included in the community. </w:t>
      </w:r>
      <w:r w:rsidR="000B4077" w:rsidRPr="00EC14F2">
        <w:rPr>
          <w:rFonts w:ascii="Verdana" w:hAnsi="Verdana" w:cs="Times New Roman"/>
        </w:rPr>
        <w:t xml:space="preserve">Securing independent </w:t>
      </w:r>
      <w:r w:rsidRPr="00EC14F2">
        <w:rPr>
          <w:rFonts w:ascii="Verdana" w:hAnsi="Verdana" w:cs="Times New Roman"/>
        </w:rPr>
        <w:t xml:space="preserve">living is </w:t>
      </w:r>
      <w:r w:rsidR="000B4077" w:rsidRPr="00EC14F2">
        <w:rPr>
          <w:rFonts w:ascii="Verdana" w:hAnsi="Verdana" w:cs="Times New Roman"/>
        </w:rPr>
        <w:t>an on-going challenge,</w:t>
      </w:r>
      <w:r w:rsidRPr="00EC14F2">
        <w:rPr>
          <w:rFonts w:ascii="Verdana" w:hAnsi="Verdana" w:cs="Times New Roman"/>
        </w:rPr>
        <w:t xml:space="preserve"> which needs to respond to people’s changing needs over time</w:t>
      </w:r>
      <w:r w:rsidR="000B4077" w:rsidRPr="00EC14F2">
        <w:rPr>
          <w:rFonts w:ascii="Verdana" w:hAnsi="Verdana" w:cs="Times New Roman"/>
        </w:rPr>
        <w:t xml:space="preserve"> to ensure that they have</w:t>
      </w:r>
      <w:r w:rsidRPr="00EC14F2">
        <w:rPr>
          <w:rFonts w:ascii="Verdana" w:hAnsi="Verdana" w:cs="Times New Roman"/>
        </w:rPr>
        <w:t xml:space="preserve"> appropriate housing</w:t>
      </w:r>
      <w:r w:rsidR="000B4077" w:rsidRPr="00EC14F2">
        <w:rPr>
          <w:rFonts w:ascii="Verdana" w:hAnsi="Verdana" w:cs="Times New Roman"/>
        </w:rPr>
        <w:t xml:space="preserve"> and</w:t>
      </w:r>
      <w:r w:rsidRPr="00EC14F2">
        <w:rPr>
          <w:rFonts w:ascii="Verdana" w:hAnsi="Verdana" w:cs="Times New Roman"/>
        </w:rPr>
        <w:t xml:space="preserve"> support to ensure community integration</w:t>
      </w:r>
      <w:r w:rsidR="000B4077" w:rsidRPr="00EC14F2">
        <w:rPr>
          <w:rFonts w:ascii="Verdana" w:hAnsi="Verdana" w:cs="Times New Roman"/>
        </w:rPr>
        <w:t xml:space="preserve"> throughout their lives</w:t>
      </w:r>
      <w:r w:rsidRPr="00EC14F2">
        <w:rPr>
          <w:rFonts w:ascii="Verdana" w:hAnsi="Verdana" w:cs="Times New Roman"/>
        </w:rPr>
        <w:t xml:space="preserve">. </w:t>
      </w:r>
    </w:p>
    <w:p w14:paraId="5F01B296" w14:textId="7AA3A36F" w:rsidR="003A73E0" w:rsidRPr="00EC14F2" w:rsidRDefault="00A76D99" w:rsidP="00EC14F2">
      <w:pPr>
        <w:pStyle w:val="Heading1"/>
        <w:rPr>
          <w:rFonts w:ascii="Verdana" w:hAnsi="Verdana"/>
          <w:lang w:val="en-GB"/>
        </w:rPr>
      </w:pPr>
      <w:r w:rsidRPr="00EC14F2">
        <w:rPr>
          <w:rFonts w:ascii="Verdana" w:hAnsi="Verdana"/>
          <w:lang w:val="en-GB"/>
        </w:rPr>
        <w:lastRenderedPageBreak/>
        <w:t xml:space="preserve">The </w:t>
      </w:r>
      <w:r w:rsidR="003A73E0" w:rsidRPr="00EC14F2">
        <w:rPr>
          <w:rFonts w:ascii="Verdana" w:hAnsi="Verdana"/>
          <w:lang w:val="en-GB"/>
        </w:rPr>
        <w:t>first win</w:t>
      </w:r>
    </w:p>
    <w:p w14:paraId="146C3C56" w14:textId="52D2B320" w:rsidR="00D72AA9" w:rsidRPr="00EC14F2" w:rsidRDefault="00D86A2A" w:rsidP="00EC14F2">
      <w:pPr>
        <w:rPr>
          <w:rFonts w:ascii="Verdana" w:hAnsi="Verdana" w:cs="Times New Roman"/>
        </w:rPr>
      </w:pPr>
      <w:r w:rsidRPr="00EC14F2">
        <w:rPr>
          <w:rFonts w:ascii="Verdana" w:hAnsi="Verdana" w:cs="Times New Roman"/>
          <w:lang w:val="en-GB"/>
        </w:rPr>
        <w:t>The first win is a successful</w:t>
      </w:r>
      <w:r w:rsidR="00013E10" w:rsidRPr="00EC14F2">
        <w:rPr>
          <w:rFonts w:ascii="Verdana" w:hAnsi="Verdana" w:cs="Times New Roman"/>
          <w:lang w:val="en-GB"/>
        </w:rPr>
        <w:t xml:space="preserve"> </w:t>
      </w:r>
      <w:r w:rsidR="000B4077" w:rsidRPr="00EC14F2">
        <w:rPr>
          <w:rFonts w:ascii="Verdana" w:hAnsi="Verdana" w:cs="Times New Roman"/>
          <w:lang w:val="en-GB"/>
        </w:rPr>
        <w:t xml:space="preserve">initial, often </w:t>
      </w:r>
      <w:r w:rsidR="00013E10" w:rsidRPr="00EC14F2">
        <w:rPr>
          <w:rFonts w:ascii="Verdana" w:hAnsi="Verdana" w:cs="Times New Roman"/>
          <w:lang w:val="en-GB"/>
        </w:rPr>
        <w:t>small-</w:t>
      </w:r>
      <w:r w:rsidRPr="00EC14F2">
        <w:rPr>
          <w:rFonts w:ascii="Verdana" w:hAnsi="Verdana" w:cs="Times New Roman"/>
          <w:lang w:val="en-GB"/>
        </w:rPr>
        <w:t>scale</w:t>
      </w:r>
      <w:r w:rsidR="000B4077" w:rsidRPr="00EC14F2">
        <w:rPr>
          <w:rFonts w:ascii="Verdana" w:hAnsi="Verdana" w:cs="Times New Roman"/>
          <w:lang w:val="en-GB"/>
        </w:rPr>
        <w:t>,</w:t>
      </w:r>
      <w:r w:rsidRPr="00EC14F2">
        <w:rPr>
          <w:rFonts w:ascii="Verdana" w:hAnsi="Verdana" w:cs="Times New Roman"/>
          <w:lang w:val="en-GB"/>
        </w:rPr>
        <w:t xml:space="preserve"> </w:t>
      </w:r>
      <w:r w:rsidR="00D72AA9" w:rsidRPr="00EC14F2">
        <w:rPr>
          <w:rFonts w:ascii="Verdana" w:hAnsi="Verdana" w:cs="Times New Roman"/>
          <w:lang w:val="en-GB"/>
        </w:rPr>
        <w:t xml:space="preserve">example of </w:t>
      </w:r>
      <w:r w:rsidRPr="00EC14F2">
        <w:rPr>
          <w:rFonts w:ascii="Verdana" w:hAnsi="Verdana" w:cs="Times New Roman"/>
          <w:lang w:val="en-GB"/>
        </w:rPr>
        <w:t xml:space="preserve">deinstitutionalisation. </w:t>
      </w:r>
      <w:r w:rsidR="000B4077" w:rsidRPr="00EC14F2">
        <w:rPr>
          <w:rFonts w:ascii="Verdana" w:hAnsi="Verdana" w:cs="Times New Roman"/>
          <w:lang w:val="en-GB"/>
        </w:rPr>
        <w:t>It can be</w:t>
      </w:r>
      <w:r w:rsidRPr="00EC14F2">
        <w:rPr>
          <w:rFonts w:ascii="Verdana" w:hAnsi="Verdana" w:cs="Times New Roman"/>
          <w:lang w:val="en-GB"/>
        </w:rPr>
        <w:t xml:space="preserve"> a </w:t>
      </w:r>
      <w:r w:rsidR="000B4077" w:rsidRPr="00EC14F2">
        <w:rPr>
          <w:rFonts w:ascii="Verdana" w:hAnsi="Verdana" w:cs="Times New Roman"/>
          <w:lang w:val="en-GB"/>
        </w:rPr>
        <w:t xml:space="preserve">successful </w:t>
      </w:r>
      <w:r w:rsidRPr="00EC14F2">
        <w:rPr>
          <w:rFonts w:ascii="Verdana" w:hAnsi="Verdana" w:cs="Times New Roman"/>
          <w:lang w:val="en-GB"/>
        </w:rPr>
        <w:t xml:space="preserve">pilot project, </w:t>
      </w:r>
      <w:r w:rsidR="000B4077" w:rsidRPr="00EC14F2">
        <w:rPr>
          <w:rFonts w:ascii="Verdana" w:hAnsi="Verdana" w:cs="Times New Roman"/>
          <w:lang w:val="en-GB"/>
        </w:rPr>
        <w:t>or the</w:t>
      </w:r>
      <w:r w:rsidRPr="00EC14F2">
        <w:rPr>
          <w:rFonts w:ascii="Verdana" w:hAnsi="Verdana" w:cs="Times New Roman"/>
          <w:lang w:val="en-GB"/>
        </w:rPr>
        <w:t xml:space="preserve"> first success story </w:t>
      </w:r>
      <w:r w:rsidR="000B4077" w:rsidRPr="00EC14F2">
        <w:rPr>
          <w:rFonts w:ascii="Verdana" w:hAnsi="Verdana" w:cs="Times New Roman"/>
          <w:lang w:val="en-GB"/>
        </w:rPr>
        <w:t>in a</w:t>
      </w:r>
      <w:r w:rsidRPr="00EC14F2">
        <w:rPr>
          <w:rFonts w:ascii="Verdana" w:hAnsi="Verdana" w:cs="Times New Roman"/>
          <w:lang w:val="en-GB"/>
        </w:rPr>
        <w:t xml:space="preserve"> larger</w:t>
      </w:r>
      <w:r w:rsidR="000B4077" w:rsidRPr="00EC14F2">
        <w:rPr>
          <w:rFonts w:ascii="Verdana" w:hAnsi="Verdana" w:cs="Times New Roman"/>
          <w:lang w:val="en-GB"/>
        </w:rPr>
        <w:t xml:space="preserve"> deinstitutionalisation</w:t>
      </w:r>
      <w:r w:rsidRPr="00EC14F2">
        <w:rPr>
          <w:rFonts w:ascii="Verdana" w:hAnsi="Verdana" w:cs="Times New Roman"/>
          <w:lang w:val="en-GB"/>
        </w:rPr>
        <w:t xml:space="preserve"> process. </w:t>
      </w:r>
      <w:r w:rsidR="00D72AA9" w:rsidRPr="00EC14F2">
        <w:rPr>
          <w:rFonts w:ascii="Verdana" w:hAnsi="Verdana" w:cs="Times New Roman"/>
          <w:lang w:val="en-GB"/>
        </w:rPr>
        <w:t xml:space="preserve">Participants highlighted its importance in providing the positive examples that are a key driver of successful deinstitutionalisation. Such success stories can </w:t>
      </w:r>
      <w:r w:rsidR="00A76D99" w:rsidRPr="00EC14F2">
        <w:rPr>
          <w:rFonts w:ascii="Verdana" w:hAnsi="Verdana" w:cs="Times New Roman"/>
        </w:rPr>
        <w:t xml:space="preserve">inspire and reassure people </w:t>
      </w:r>
      <w:r w:rsidR="00D72AA9" w:rsidRPr="00EC14F2">
        <w:rPr>
          <w:rFonts w:ascii="Verdana" w:hAnsi="Verdana" w:cs="Times New Roman"/>
        </w:rPr>
        <w:t xml:space="preserve">involved in the deinstitutionalisation process, including policymakers, service providers, people </w:t>
      </w:r>
      <w:r w:rsidR="00A76D99" w:rsidRPr="00EC14F2">
        <w:rPr>
          <w:rFonts w:ascii="Verdana" w:hAnsi="Verdana" w:cs="Times New Roman"/>
        </w:rPr>
        <w:t>with disabilities</w:t>
      </w:r>
      <w:r w:rsidR="00D72AA9" w:rsidRPr="00EC14F2">
        <w:rPr>
          <w:rFonts w:ascii="Verdana" w:hAnsi="Verdana" w:cs="Times New Roman"/>
        </w:rPr>
        <w:t xml:space="preserve"> and</w:t>
      </w:r>
      <w:r w:rsidR="00A76D99" w:rsidRPr="00EC14F2">
        <w:rPr>
          <w:rFonts w:ascii="Verdana" w:hAnsi="Verdana" w:cs="Times New Roman"/>
        </w:rPr>
        <w:t xml:space="preserve"> their families</w:t>
      </w:r>
      <w:r w:rsidR="00D72AA9" w:rsidRPr="00EC14F2">
        <w:rPr>
          <w:rFonts w:ascii="Verdana" w:hAnsi="Verdana" w:cs="Times New Roman"/>
        </w:rPr>
        <w:t>,</w:t>
      </w:r>
      <w:r w:rsidR="00A76D99" w:rsidRPr="00EC14F2">
        <w:rPr>
          <w:rFonts w:ascii="Verdana" w:hAnsi="Verdana" w:cs="Times New Roman"/>
        </w:rPr>
        <w:t xml:space="preserve"> and </w:t>
      </w:r>
      <w:r w:rsidR="00D72AA9" w:rsidRPr="00EC14F2">
        <w:rPr>
          <w:rFonts w:ascii="Verdana" w:hAnsi="Verdana" w:cs="Times New Roman"/>
        </w:rPr>
        <w:t>local communities:</w:t>
      </w:r>
      <w:r w:rsidR="00A76D99" w:rsidRPr="00EC14F2">
        <w:rPr>
          <w:rFonts w:ascii="Verdana" w:hAnsi="Verdana" w:cs="Times New Roman"/>
        </w:rPr>
        <w:t xml:space="preserve"> </w:t>
      </w:r>
    </w:p>
    <w:p w14:paraId="6EDE9099" w14:textId="7C0468FB" w:rsidR="00D72AA9" w:rsidRPr="00EC14F2" w:rsidRDefault="00D72AA9" w:rsidP="00EC14F2">
      <w:pPr>
        <w:pStyle w:val="ListParagraph"/>
        <w:numPr>
          <w:ilvl w:val="0"/>
          <w:numId w:val="5"/>
        </w:numPr>
        <w:rPr>
          <w:rFonts w:ascii="Verdana" w:hAnsi="Verdana" w:cs="Times New Roman"/>
        </w:rPr>
      </w:pPr>
      <w:r w:rsidRPr="00EC14F2">
        <w:rPr>
          <w:rFonts w:ascii="Verdana" w:hAnsi="Verdana" w:cs="Times New Roman"/>
        </w:rPr>
        <w:t xml:space="preserve">In Italy, families who had initial concerns about their relatives </w:t>
      </w:r>
      <w:r w:rsidR="006D22B8" w:rsidRPr="00EC14F2">
        <w:rPr>
          <w:rFonts w:ascii="Verdana" w:hAnsi="Verdana" w:cs="Times New Roman"/>
        </w:rPr>
        <w:t xml:space="preserve">with disabilities’ </w:t>
      </w:r>
      <w:r w:rsidRPr="00EC14F2">
        <w:rPr>
          <w:rFonts w:ascii="Verdana" w:hAnsi="Verdana" w:cs="Times New Roman"/>
        </w:rPr>
        <w:t xml:space="preserve">ability to live outside an institution </w:t>
      </w:r>
      <w:r w:rsidR="006D22B8" w:rsidRPr="00EC14F2">
        <w:rPr>
          <w:rFonts w:ascii="Verdana" w:hAnsi="Verdana" w:cs="Times New Roman"/>
        </w:rPr>
        <w:t>saw</w:t>
      </w:r>
      <w:r w:rsidRPr="00EC14F2">
        <w:rPr>
          <w:rFonts w:ascii="Verdana" w:hAnsi="Verdana" w:cs="Times New Roman"/>
        </w:rPr>
        <w:t xml:space="preserve"> their relatives’ skills and independence </w:t>
      </w:r>
      <w:r w:rsidR="006D22B8" w:rsidRPr="00EC14F2">
        <w:rPr>
          <w:rFonts w:ascii="Verdana" w:hAnsi="Verdana" w:cs="Times New Roman"/>
        </w:rPr>
        <w:t>develop in community-based settings. They</w:t>
      </w:r>
      <w:r w:rsidRPr="00EC14F2">
        <w:rPr>
          <w:rFonts w:ascii="Verdana" w:hAnsi="Verdana" w:cs="Times New Roman"/>
        </w:rPr>
        <w:t xml:space="preserve"> became active champions of the process. </w:t>
      </w:r>
    </w:p>
    <w:p w14:paraId="79E86979" w14:textId="2B7A8D6E" w:rsidR="00D72AA9" w:rsidRPr="00EC14F2" w:rsidRDefault="006D22B8" w:rsidP="00EC14F2">
      <w:pPr>
        <w:pStyle w:val="ListParagraph"/>
        <w:numPr>
          <w:ilvl w:val="0"/>
          <w:numId w:val="5"/>
        </w:numPr>
        <w:rPr>
          <w:rFonts w:ascii="Verdana" w:hAnsi="Verdana" w:cs="Times New Roman"/>
        </w:rPr>
      </w:pPr>
      <w:r w:rsidRPr="00EC14F2">
        <w:rPr>
          <w:rFonts w:ascii="Verdana" w:hAnsi="Verdana" w:cs="Times New Roman"/>
        </w:rPr>
        <w:t>I</w:t>
      </w:r>
      <w:r w:rsidR="00DB208E" w:rsidRPr="00EC14F2">
        <w:rPr>
          <w:rFonts w:ascii="Verdana" w:hAnsi="Verdana" w:cs="Times New Roman"/>
        </w:rPr>
        <w:t>nstitutions make people with disabilities less visible</w:t>
      </w:r>
      <w:r w:rsidRPr="00EC14F2">
        <w:rPr>
          <w:rFonts w:ascii="Verdana" w:hAnsi="Verdana" w:cs="Times New Roman"/>
        </w:rPr>
        <w:t>, which can prompt</w:t>
      </w:r>
      <w:r w:rsidR="00DB208E" w:rsidRPr="00EC14F2">
        <w:rPr>
          <w:rFonts w:ascii="Verdana" w:hAnsi="Verdana" w:cs="Times New Roman"/>
        </w:rPr>
        <w:t xml:space="preserve"> distrust and even fear of </w:t>
      </w:r>
      <w:r w:rsidRPr="00EC14F2">
        <w:rPr>
          <w:rFonts w:ascii="Verdana" w:hAnsi="Verdana" w:cs="Times New Roman"/>
        </w:rPr>
        <w:t>among members of local communities where deinstitutionalisation is taking place</w:t>
      </w:r>
      <w:r w:rsidR="00FD6F7C" w:rsidRPr="00EC14F2">
        <w:rPr>
          <w:rFonts w:ascii="Verdana" w:hAnsi="Verdana" w:cs="Times New Roman"/>
        </w:rPr>
        <w:t xml:space="preserve">. </w:t>
      </w:r>
      <w:r w:rsidR="00DB208E" w:rsidRPr="00EC14F2">
        <w:rPr>
          <w:rFonts w:ascii="Verdana" w:hAnsi="Verdana" w:cs="Times New Roman"/>
        </w:rPr>
        <w:t xml:space="preserve">In Bulgaria, the opening of </w:t>
      </w:r>
      <w:r w:rsidR="00D86A2A" w:rsidRPr="00EC14F2">
        <w:rPr>
          <w:rFonts w:ascii="Verdana" w:hAnsi="Verdana" w:cs="Times New Roman"/>
        </w:rPr>
        <w:t xml:space="preserve">group </w:t>
      </w:r>
      <w:r w:rsidR="00DB208E" w:rsidRPr="00EC14F2">
        <w:rPr>
          <w:rFonts w:ascii="Verdana" w:hAnsi="Verdana" w:cs="Times New Roman"/>
        </w:rPr>
        <w:t xml:space="preserve">homes for children leaving institutions provoked protests from local residents. When the project went ahead, however, good relations </w:t>
      </w:r>
      <w:r w:rsidRPr="00EC14F2">
        <w:rPr>
          <w:rFonts w:ascii="Verdana" w:hAnsi="Verdana" w:cs="Times New Roman"/>
        </w:rPr>
        <w:t>developed</w:t>
      </w:r>
      <w:r w:rsidR="00DB208E" w:rsidRPr="00EC14F2">
        <w:rPr>
          <w:rFonts w:ascii="Verdana" w:hAnsi="Verdana" w:cs="Times New Roman"/>
        </w:rPr>
        <w:t xml:space="preserve"> between residents with dis</w:t>
      </w:r>
      <w:r w:rsidR="00242074" w:rsidRPr="00EC14F2">
        <w:rPr>
          <w:rFonts w:ascii="Verdana" w:hAnsi="Verdana" w:cs="Times New Roman"/>
        </w:rPr>
        <w:t xml:space="preserve">abilities and their neighbours. Some residents earned casual income doing odd jobs for their neighbours, </w:t>
      </w:r>
      <w:r w:rsidRPr="00EC14F2">
        <w:rPr>
          <w:rFonts w:ascii="Verdana" w:hAnsi="Verdana" w:cs="Times New Roman"/>
        </w:rPr>
        <w:t xml:space="preserve">and several </w:t>
      </w:r>
      <w:r w:rsidR="00242074" w:rsidRPr="00EC14F2">
        <w:rPr>
          <w:rFonts w:ascii="Verdana" w:hAnsi="Verdana" w:cs="Times New Roman"/>
        </w:rPr>
        <w:t xml:space="preserve">neighbours called </w:t>
      </w:r>
      <w:r w:rsidRPr="00EC14F2">
        <w:rPr>
          <w:rFonts w:ascii="Verdana" w:hAnsi="Verdana" w:cs="Times New Roman"/>
        </w:rPr>
        <w:t xml:space="preserve">by </w:t>
      </w:r>
      <w:r w:rsidR="00242074" w:rsidRPr="00EC14F2">
        <w:rPr>
          <w:rFonts w:ascii="Verdana" w:hAnsi="Verdana" w:cs="Times New Roman"/>
        </w:rPr>
        <w:t>the</w:t>
      </w:r>
      <w:r w:rsidR="00D86A2A" w:rsidRPr="00EC14F2">
        <w:rPr>
          <w:rFonts w:ascii="Verdana" w:hAnsi="Verdana" w:cs="Times New Roman"/>
        </w:rPr>
        <w:t xml:space="preserve"> </w:t>
      </w:r>
      <w:r w:rsidR="00C922C5" w:rsidRPr="00EC14F2">
        <w:rPr>
          <w:rFonts w:ascii="Verdana" w:hAnsi="Verdana" w:cs="Times New Roman"/>
        </w:rPr>
        <w:t xml:space="preserve">group </w:t>
      </w:r>
      <w:r w:rsidR="00242074" w:rsidRPr="00EC14F2">
        <w:rPr>
          <w:rFonts w:ascii="Verdana" w:hAnsi="Verdana" w:cs="Times New Roman"/>
        </w:rPr>
        <w:t xml:space="preserve">homes to chat. </w:t>
      </w:r>
    </w:p>
    <w:p w14:paraId="451291F1" w14:textId="2992BA8D" w:rsidR="00D72AA9" w:rsidRPr="00EC14F2" w:rsidRDefault="00D72AA9" w:rsidP="00EC14F2">
      <w:pPr>
        <w:rPr>
          <w:rFonts w:ascii="Verdana" w:hAnsi="Verdana" w:cs="Times New Roman"/>
        </w:rPr>
      </w:pPr>
      <w:r w:rsidRPr="00EC14F2">
        <w:rPr>
          <w:rFonts w:ascii="Verdana" w:hAnsi="Verdana" w:cs="Times New Roman"/>
        </w:rPr>
        <w:lastRenderedPageBreak/>
        <w:t>Many participants emphasised the importance of achieving a first win in the local area</w:t>
      </w:r>
      <w:r w:rsidR="006D22B8" w:rsidRPr="00EC14F2">
        <w:rPr>
          <w:rFonts w:ascii="Verdana" w:hAnsi="Verdana" w:cs="Times New Roman"/>
        </w:rPr>
        <w:t xml:space="preserve">, as positive </w:t>
      </w:r>
      <w:r w:rsidRPr="00EC14F2">
        <w:rPr>
          <w:rFonts w:ascii="Verdana" w:hAnsi="Verdana" w:cs="Times New Roman"/>
        </w:rPr>
        <w:t xml:space="preserve">stories </w:t>
      </w:r>
      <w:r w:rsidR="006D22B8" w:rsidRPr="00EC14F2">
        <w:rPr>
          <w:rFonts w:ascii="Verdana" w:hAnsi="Verdana" w:cs="Times New Roman"/>
        </w:rPr>
        <w:t xml:space="preserve">from </w:t>
      </w:r>
      <w:r w:rsidRPr="00EC14F2">
        <w:rPr>
          <w:rFonts w:ascii="Verdana" w:hAnsi="Verdana" w:cs="Times New Roman"/>
        </w:rPr>
        <w:t>close to home</w:t>
      </w:r>
      <w:r w:rsidR="006D22B8" w:rsidRPr="00EC14F2">
        <w:rPr>
          <w:rFonts w:ascii="Verdana" w:hAnsi="Verdana" w:cs="Times New Roman"/>
        </w:rPr>
        <w:t xml:space="preserve"> have the greatest impact</w:t>
      </w:r>
      <w:r w:rsidRPr="00EC14F2">
        <w:rPr>
          <w:rFonts w:ascii="Verdana" w:hAnsi="Verdana" w:cs="Times New Roman"/>
        </w:rPr>
        <w:t xml:space="preserve">: </w:t>
      </w:r>
      <w:r w:rsidR="006D22B8" w:rsidRPr="00EC14F2">
        <w:rPr>
          <w:rFonts w:ascii="Verdana" w:hAnsi="Verdana" w:cs="Times New Roman"/>
        </w:rPr>
        <w:t>“</w:t>
      </w:r>
      <w:r w:rsidRPr="00EC14F2">
        <w:rPr>
          <w:rFonts w:ascii="Verdana" w:hAnsi="Verdana" w:cs="Times New Roman"/>
          <w:i/>
        </w:rPr>
        <w:t>families were a b</w:t>
      </w:r>
      <w:r w:rsidR="006D22B8" w:rsidRPr="00EC14F2">
        <w:rPr>
          <w:rFonts w:ascii="Verdana" w:hAnsi="Verdana" w:cs="Times New Roman"/>
          <w:i/>
        </w:rPr>
        <w:t xml:space="preserve">it like that’s grand in America, </w:t>
      </w:r>
      <w:r w:rsidRPr="00EC14F2">
        <w:rPr>
          <w:rFonts w:ascii="Verdana" w:hAnsi="Verdana" w:cs="Times New Roman"/>
          <w:i/>
        </w:rPr>
        <w:t>and it’s grand in Australia</w:t>
      </w:r>
      <w:r w:rsidR="006D22B8" w:rsidRPr="00EC14F2">
        <w:rPr>
          <w:rFonts w:ascii="Verdana" w:hAnsi="Verdana" w:cs="Times New Roman"/>
          <w:i/>
        </w:rPr>
        <w:t>,</w:t>
      </w:r>
      <w:r w:rsidRPr="00EC14F2">
        <w:rPr>
          <w:rFonts w:ascii="Verdana" w:hAnsi="Verdana" w:cs="Times New Roman"/>
          <w:i/>
        </w:rPr>
        <w:t xml:space="preserve"> but this is Ireland</w:t>
      </w:r>
      <w:r w:rsidR="007D29F3" w:rsidRPr="00EC14F2">
        <w:rPr>
          <w:rFonts w:ascii="Verdana" w:hAnsi="Verdana" w:cs="Times New Roman"/>
          <w:i/>
        </w:rPr>
        <w:t>”</w:t>
      </w:r>
      <w:r w:rsidRPr="00EC14F2">
        <w:rPr>
          <w:rFonts w:ascii="Verdana" w:hAnsi="Verdana" w:cs="Times New Roman"/>
          <w:i/>
        </w:rPr>
        <w:t xml:space="preserve"> </w:t>
      </w:r>
      <w:r w:rsidRPr="00EC14F2">
        <w:rPr>
          <w:rFonts w:ascii="Verdana" w:hAnsi="Verdana" w:cs="Times New Roman"/>
        </w:rPr>
        <w:t>(</w:t>
      </w:r>
      <w:r w:rsidR="007D29F3" w:rsidRPr="00EC14F2">
        <w:rPr>
          <w:rFonts w:ascii="Verdana" w:hAnsi="Verdana" w:cs="Times New Roman"/>
        </w:rPr>
        <w:t>Ireland, service provider</w:t>
      </w:r>
      <w:r w:rsidRPr="00EC14F2">
        <w:rPr>
          <w:rFonts w:ascii="Verdana" w:hAnsi="Verdana" w:cs="Times New Roman"/>
        </w:rPr>
        <w:t>).</w:t>
      </w:r>
    </w:p>
    <w:p w14:paraId="4D9299E8" w14:textId="23033132" w:rsidR="005C34C8" w:rsidRPr="00EC14F2" w:rsidRDefault="005C34C8" w:rsidP="00EC14F2">
      <w:pPr>
        <w:pStyle w:val="Heading2"/>
        <w:rPr>
          <w:rFonts w:ascii="Verdana" w:hAnsi="Verdana"/>
        </w:rPr>
      </w:pPr>
      <w:r w:rsidRPr="00EC14F2">
        <w:rPr>
          <w:rFonts w:ascii="Verdana" w:hAnsi="Verdana"/>
        </w:rPr>
        <w:t>Policy implications</w:t>
      </w:r>
    </w:p>
    <w:p w14:paraId="3F356FFD" w14:textId="66D00549" w:rsidR="0071060A" w:rsidRPr="00EC14F2" w:rsidRDefault="0071060A" w:rsidP="00EC14F2">
      <w:pPr>
        <w:rPr>
          <w:rFonts w:ascii="Verdana" w:hAnsi="Verdana" w:cs="Times New Roman"/>
        </w:rPr>
      </w:pPr>
      <w:r w:rsidRPr="00EC14F2">
        <w:rPr>
          <w:rFonts w:ascii="Verdana" w:hAnsi="Verdana" w:cs="Times New Roman"/>
        </w:rPr>
        <w:t xml:space="preserve">FRA’s research shows that first wins are important </w:t>
      </w:r>
      <w:r w:rsidR="00673E13" w:rsidRPr="00EC14F2">
        <w:rPr>
          <w:rFonts w:ascii="Verdana" w:hAnsi="Verdana" w:cs="Times New Roman"/>
        </w:rPr>
        <w:t>irrespective of the approach to deinstitutionalisation</w:t>
      </w:r>
      <w:r w:rsidRPr="00EC14F2">
        <w:rPr>
          <w:rFonts w:ascii="Verdana" w:hAnsi="Verdana" w:cs="Times New Roman"/>
        </w:rPr>
        <w:t xml:space="preserve">, as they demonstrate the benefits that </w:t>
      </w:r>
      <w:r w:rsidR="00673E13" w:rsidRPr="00EC14F2">
        <w:rPr>
          <w:rFonts w:ascii="Verdana" w:hAnsi="Verdana" w:cs="Times New Roman"/>
        </w:rPr>
        <w:t xml:space="preserve">it </w:t>
      </w:r>
      <w:r w:rsidRPr="00EC14F2">
        <w:rPr>
          <w:rFonts w:ascii="Verdana" w:hAnsi="Verdana" w:cs="Times New Roman"/>
        </w:rPr>
        <w:t>can bring for those involved:</w:t>
      </w:r>
    </w:p>
    <w:p w14:paraId="793DB0B2" w14:textId="04A8962D" w:rsidR="0071060A" w:rsidRPr="00EC14F2" w:rsidRDefault="00F9300C" w:rsidP="00EC14F2">
      <w:pPr>
        <w:pStyle w:val="ListParagraph"/>
        <w:numPr>
          <w:ilvl w:val="0"/>
          <w:numId w:val="6"/>
        </w:numPr>
        <w:rPr>
          <w:rFonts w:ascii="Verdana" w:hAnsi="Verdana" w:cs="Times New Roman"/>
        </w:rPr>
      </w:pPr>
      <w:r w:rsidRPr="00EC14F2">
        <w:rPr>
          <w:rFonts w:ascii="Verdana" w:hAnsi="Verdana" w:cs="Times New Roman"/>
        </w:rPr>
        <w:t xml:space="preserve">Where </w:t>
      </w:r>
      <w:r w:rsidR="0071060A" w:rsidRPr="00EC14F2">
        <w:rPr>
          <w:rFonts w:ascii="Verdana" w:hAnsi="Verdana" w:cs="Times New Roman"/>
        </w:rPr>
        <w:t>deinstitutionalisation is led by</w:t>
      </w:r>
      <w:r w:rsidRPr="00EC14F2">
        <w:rPr>
          <w:rFonts w:ascii="Verdana" w:hAnsi="Verdana" w:cs="Times New Roman"/>
        </w:rPr>
        <w:t xml:space="preserve"> national or regional authorities</w:t>
      </w:r>
      <w:r w:rsidR="0071060A" w:rsidRPr="00EC14F2">
        <w:rPr>
          <w:rFonts w:ascii="Verdana" w:hAnsi="Verdana" w:cs="Times New Roman"/>
        </w:rPr>
        <w:t xml:space="preserve">, </w:t>
      </w:r>
      <w:r w:rsidRPr="00EC14F2">
        <w:rPr>
          <w:rFonts w:ascii="Verdana" w:hAnsi="Verdana" w:cs="Times New Roman"/>
        </w:rPr>
        <w:t xml:space="preserve">first wins show that policy goals are attainable in practice, and encourage buy in at </w:t>
      </w:r>
      <w:r w:rsidR="0071060A" w:rsidRPr="00EC14F2">
        <w:rPr>
          <w:rFonts w:ascii="Verdana" w:hAnsi="Verdana" w:cs="Times New Roman"/>
        </w:rPr>
        <w:t xml:space="preserve">the </w:t>
      </w:r>
      <w:r w:rsidRPr="00EC14F2">
        <w:rPr>
          <w:rFonts w:ascii="Verdana" w:hAnsi="Verdana" w:cs="Times New Roman"/>
        </w:rPr>
        <w:t xml:space="preserve">local level. </w:t>
      </w:r>
    </w:p>
    <w:p w14:paraId="44C31984" w14:textId="4B200111" w:rsidR="0071060A" w:rsidRPr="00EC14F2" w:rsidRDefault="00F9300C" w:rsidP="00EC14F2">
      <w:pPr>
        <w:pStyle w:val="ListParagraph"/>
        <w:numPr>
          <w:ilvl w:val="0"/>
          <w:numId w:val="6"/>
        </w:numPr>
        <w:rPr>
          <w:rFonts w:ascii="Verdana" w:hAnsi="Verdana" w:cs="Times New Roman"/>
        </w:rPr>
      </w:pPr>
      <w:r w:rsidRPr="00EC14F2">
        <w:rPr>
          <w:rFonts w:ascii="Verdana" w:hAnsi="Verdana" w:cs="Times New Roman"/>
        </w:rPr>
        <w:t>Where local</w:t>
      </w:r>
      <w:r w:rsidR="0071060A" w:rsidRPr="00EC14F2">
        <w:rPr>
          <w:rFonts w:ascii="Verdana" w:hAnsi="Verdana" w:cs="Times New Roman"/>
        </w:rPr>
        <w:t xml:space="preserve"> actors are driving deinstitutionalisation</w:t>
      </w:r>
      <w:r w:rsidRPr="00EC14F2">
        <w:rPr>
          <w:rFonts w:ascii="Verdana" w:hAnsi="Verdana" w:cs="Times New Roman"/>
        </w:rPr>
        <w:t xml:space="preserve">, the first win </w:t>
      </w:r>
      <w:r w:rsidR="0071060A" w:rsidRPr="00EC14F2">
        <w:rPr>
          <w:rFonts w:ascii="Verdana" w:hAnsi="Verdana" w:cs="Times New Roman"/>
        </w:rPr>
        <w:t xml:space="preserve">gives </w:t>
      </w:r>
      <w:r w:rsidRPr="00EC14F2">
        <w:rPr>
          <w:rFonts w:ascii="Verdana" w:hAnsi="Verdana" w:cs="Times New Roman"/>
        </w:rPr>
        <w:t>others something to emulate</w:t>
      </w:r>
      <w:r w:rsidR="0071060A" w:rsidRPr="00EC14F2">
        <w:rPr>
          <w:rFonts w:ascii="Verdana" w:hAnsi="Verdana" w:cs="Times New Roman"/>
        </w:rPr>
        <w:t xml:space="preserve"> and confidence that it can be achieved</w:t>
      </w:r>
      <w:r w:rsidRPr="00EC14F2">
        <w:rPr>
          <w:rFonts w:ascii="Verdana" w:hAnsi="Verdana" w:cs="Times New Roman"/>
        </w:rPr>
        <w:t xml:space="preserve">. </w:t>
      </w:r>
    </w:p>
    <w:p w14:paraId="219AD71E" w14:textId="5217D179" w:rsidR="0071060A" w:rsidRPr="00EC14F2" w:rsidRDefault="0071060A" w:rsidP="00EC14F2">
      <w:pPr>
        <w:pStyle w:val="ListParagraph"/>
        <w:numPr>
          <w:ilvl w:val="0"/>
          <w:numId w:val="6"/>
        </w:numPr>
        <w:rPr>
          <w:rFonts w:ascii="Verdana" w:hAnsi="Verdana" w:cs="Times New Roman"/>
        </w:rPr>
      </w:pPr>
      <w:r w:rsidRPr="00EC14F2">
        <w:rPr>
          <w:rFonts w:ascii="Verdana" w:hAnsi="Verdana" w:cs="Times New Roman"/>
        </w:rPr>
        <w:t>C</w:t>
      </w:r>
      <w:r w:rsidR="00FD494A" w:rsidRPr="00EC14F2">
        <w:rPr>
          <w:rFonts w:ascii="Verdana" w:hAnsi="Verdana" w:cs="Times New Roman"/>
        </w:rPr>
        <w:t xml:space="preserve">oncentrating on achieving a first win </w:t>
      </w:r>
      <w:r w:rsidRPr="00EC14F2">
        <w:rPr>
          <w:rFonts w:ascii="Verdana" w:hAnsi="Verdana" w:cs="Times New Roman"/>
        </w:rPr>
        <w:t xml:space="preserve">can allow actors </w:t>
      </w:r>
      <w:r w:rsidR="00FD494A" w:rsidRPr="00EC14F2">
        <w:rPr>
          <w:rFonts w:ascii="Verdana" w:hAnsi="Verdana" w:cs="Times New Roman"/>
        </w:rPr>
        <w:t xml:space="preserve">to move swiftly, and not get </w:t>
      </w:r>
      <w:r w:rsidRPr="00EC14F2">
        <w:rPr>
          <w:rFonts w:ascii="Verdana" w:hAnsi="Verdana" w:cs="Times New Roman"/>
        </w:rPr>
        <w:t>caught up</w:t>
      </w:r>
      <w:r w:rsidR="00FD494A" w:rsidRPr="00EC14F2">
        <w:rPr>
          <w:rFonts w:ascii="Verdana" w:hAnsi="Verdana" w:cs="Times New Roman"/>
        </w:rPr>
        <w:t xml:space="preserve"> in </w:t>
      </w:r>
      <w:r w:rsidRPr="00EC14F2">
        <w:rPr>
          <w:rFonts w:ascii="Verdana" w:hAnsi="Verdana" w:cs="Times New Roman"/>
        </w:rPr>
        <w:t xml:space="preserve">lengthy </w:t>
      </w:r>
      <w:r w:rsidR="00FD494A" w:rsidRPr="00EC14F2">
        <w:rPr>
          <w:rFonts w:ascii="Verdana" w:hAnsi="Verdana" w:cs="Times New Roman"/>
        </w:rPr>
        <w:t>preparation</w:t>
      </w:r>
      <w:r w:rsidRPr="00EC14F2">
        <w:rPr>
          <w:rFonts w:ascii="Verdana" w:hAnsi="Verdana" w:cs="Times New Roman"/>
        </w:rPr>
        <w:t>s</w:t>
      </w:r>
      <w:r w:rsidR="00FD494A" w:rsidRPr="00EC14F2">
        <w:rPr>
          <w:rFonts w:ascii="Verdana" w:hAnsi="Verdana" w:cs="Times New Roman"/>
        </w:rPr>
        <w:t xml:space="preserve"> for </w:t>
      </w:r>
      <w:r w:rsidRPr="00EC14F2">
        <w:rPr>
          <w:rFonts w:ascii="Verdana" w:hAnsi="Verdana" w:cs="Times New Roman"/>
        </w:rPr>
        <w:t xml:space="preserve">full </w:t>
      </w:r>
      <w:r w:rsidR="00FD494A" w:rsidRPr="00EC14F2">
        <w:rPr>
          <w:rFonts w:ascii="Verdana" w:hAnsi="Verdana" w:cs="Times New Roman"/>
        </w:rPr>
        <w:t xml:space="preserve">deinstitutionalisation. </w:t>
      </w:r>
    </w:p>
    <w:p w14:paraId="4925556B" w14:textId="7880C7A2" w:rsidR="0013770B" w:rsidRPr="00EC14F2" w:rsidRDefault="0071060A" w:rsidP="00EC14F2">
      <w:pPr>
        <w:rPr>
          <w:rFonts w:ascii="Verdana" w:hAnsi="Verdana" w:cs="Times New Roman"/>
        </w:rPr>
      </w:pPr>
      <w:r w:rsidRPr="00EC14F2">
        <w:rPr>
          <w:rFonts w:ascii="Verdana" w:hAnsi="Verdana" w:cs="Times New Roman"/>
        </w:rPr>
        <w:t>P</w:t>
      </w:r>
      <w:r w:rsidR="00C6410D" w:rsidRPr="00EC14F2">
        <w:rPr>
          <w:rFonts w:ascii="Verdana" w:hAnsi="Verdana" w:cs="Times New Roman"/>
        </w:rPr>
        <w:t xml:space="preserve">articipants stressed that a focus on first wins should not distract from the overall goal of achieving deinstitutionalisation for all. Following the first win, </w:t>
      </w:r>
      <w:r w:rsidRPr="00EC14F2">
        <w:rPr>
          <w:rFonts w:ascii="Verdana" w:hAnsi="Verdana" w:cs="Times New Roman"/>
        </w:rPr>
        <w:t xml:space="preserve">they argued, </w:t>
      </w:r>
      <w:r w:rsidR="00C6410D" w:rsidRPr="00EC14F2">
        <w:rPr>
          <w:rFonts w:ascii="Verdana" w:hAnsi="Verdana" w:cs="Times New Roman"/>
        </w:rPr>
        <w:t xml:space="preserve">deinstitutionalisation measures </w:t>
      </w:r>
      <w:r w:rsidRPr="00EC14F2">
        <w:rPr>
          <w:rFonts w:ascii="Verdana" w:hAnsi="Verdana" w:cs="Times New Roman"/>
        </w:rPr>
        <w:t>should</w:t>
      </w:r>
      <w:r w:rsidR="00C6410D" w:rsidRPr="00EC14F2">
        <w:rPr>
          <w:rFonts w:ascii="Verdana" w:hAnsi="Verdana" w:cs="Times New Roman"/>
        </w:rPr>
        <w:t xml:space="preserve"> scale up rapidly to move towards </w:t>
      </w:r>
      <w:r w:rsidRPr="00EC14F2">
        <w:rPr>
          <w:rFonts w:ascii="Verdana" w:hAnsi="Verdana" w:cs="Times New Roman"/>
        </w:rPr>
        <w:t xml:space="preserve">the </w:t>
      </w:r>
      <w:r w:rsidR="00C6410D" w:rsidRPr="00EC14F2">
        <w:rPr>
          <w:rFonts w:ascii="Verdana" w:hAnsi="Verdana" w:cs="Times New Roman"/>
        </w:rPr>
        <w:t xml:space="preserve">tipping point. </w:t>
      </w:r>
    </w:p>
    <w:p w14:paraId="1528BC89" w14:textId="6980C962" w:rsidR="0013770B" w:rsidRPr="00EC14F2" w:rsidRDefault="003A73E0" w:rsidP="00EC14F2">
      <w:pPr>
        <w:pStyle w:val="Heading1"/>
        <w:rPr>
          <w:rFonts w:ascii="Verdana" w:hAnsi="Verdana"/>
        </w:rPr>
      </w:pPr>
      <w:r w:rsidRPr="00EC14F2">
        <w:rPr>
          <w:rFonts w:ascii="Verdana" w:hAnsi="Verdana"/>
        </w:rPr>
        <w:lastRenderedPageBreak/>
        <w:t>The tipping point</w:t>
      </w:r>
    </w:p>
    <w:p w14:paraId="03AB8012" w14:textId="5567BB47" w:rsidR="00540C33" w:rsidRPr="00EC14F2" w:rsidRDefault="0071060A" w:rsidP="00EC14F2">
      <w:pPr>
        <w:spacing w:line="276" w:lineRule="auto"/>
        <w:ind w:left="720" w:right="-46"/>
        <w:rPr>
          <w:rFonts w:ascii="Verdana" w:hAnsi="Verdana" w:cs="Times New Roman"/>
          <w:i/>
        </w:rPr>
      </w:pPr>
      <w:r w:rsidRPr="00EC14F2">
        <w:rPr>
          <w:rFonts w:ascii="Verdana" w:hAnsi="Verdana" w:cs="Times New Roman"/>
          <w:i/>
        </w:rPr>
        <w:t>“S</w:t>
      </w:r>
      <w:r w:rsidR="00540C33" w:rsidRPr="00EC14F2">
        <w:rPr>
          <w:rFonts w:ascii="Verdana" w:hAnsi="Verdana" w:cs="Times New Roman"/>
          <w:i/>
        </w:rPr>
        <w:t>uddenly when people started moving, when the staff could see a future and could see something much, much better in terms of quality of life for the people they were working with, the whole thing seemed to turn.</w:t>
      </w:r>
      <w:r w:rsidR="00904413" w:rsidRPr="00EC14F2">
        <w:rPr>
          <w:rFonts w:ascii="Verdana" w:hAnsi="Verdana" w:cs="Times New Roman"/>
          <w:i/>
        </w:rPr>
        <w:t>”</w:t>
      </w:r>
      <w:r w:rsidR="00540C33" w:rsidRPr="00EC14F2">
        <w:rPr>
          <w:rFonts w:ascii="Verdana" w:hAnsi="Verdana" w:cs="Times New Roman"/>
          <w:i/>
        </w:rPr>
        <w:t xml:space="preserve"> </w:t>
      </w:r>
      <w:r w:rsidR="00540C33" w:rsidRPr="00EC14F2">
        <w:rPr>
          <w:rFonts w:ascii="Verdana" w:hAnsi="Verdana" w:cs="Times New Roman"/>
        </w:rPr>
        <w:t xml:space="preserve">(Ireland, </w:t>
      </w:r>
      <w:r w:rsidR="007D29F3" w:rsidRPr="00EC14F2">
        <w:rPr>
          <w:rFonts w:ascii="Verdana" w:hAnsi="Verdana" w:cs="Times New Roman"/>
        </w:rPr>
        <w:t>s</w:t>
      </w:r>
      <w:r w:rsidR="00540C33" w:rsidRPr="00EC14F2">
        <w:rPr>
          <w:rFonts w:ascii="Verdana" w:hAnsi="Verdana" w:cs="Times New Roman"/>
        </w:rPr>
        <w:t>enior manager</w:t>
      </w:r>
      <w:r w:rsidR="000262D6" w:rsidRPr="00EC14F2">
        <w:rPr>
          <w:rFonts w:ascii="Verdana" w:hAnsi="Verdana" w:cs="Times New Roman"/>
        </w:rPr>
        <w:t xml:space="preserve"> of a service provider</w:t>
      </w:r>
      <w:r w:rsidR="00540C33" w:rsidRPr="00EC14F2">
        <w:rPr>
          <w:rFonts w:ascii="Verdana" w:hAnsi="Verdana" w:cs="Times New Roman"/>
        </w:rPr>
        <w:t>)</w:t>
      </w:r>
      <w:r w:rsidR="00904413" w:rsidRPr="00EC14F2" w:rsidDel="00904413">
        <w:rPr>
          <w:rFonts w:ascii="Verdana" w:hAnsi="Verdana" w:cs="Times New Roman"/>
          <w:i/>
        </w:rPr>
        <w:t xml:space="preserve"> </w:t>
      </w:r>
    </w:p>
    <w:p w14:paraId="36E21314" w14:textId="1309D943" w:rsidR="00540C33" w:rsidRPr="00EC14F2" w:rsidRDefault="00904413" w:rsidP="00EC14F2">
      <w:pPr>
        <w:rPr>
          <w:rFonts w:ascii="Verdana" w:hAnsi="Verdana" w:cs="Times New Roman"/>
        </w:rPr>
      </w:pPr>
      <w:r w:rsidRPr="00EC14F2">
        <w:rPr>
          <w:rFonts w:ascii="Verdana" w:hAnsi="Verdana" w:cs="Times New Roman"/>
        </w:rPr>
        <w:t>M</w:t>
      </w:r>
      <w:r w:rsidR="00540C33" w:rsidRPr="00EC14F2">
        <w:rPr>
          <w:rFonts w:ascii="Verdana" w:hAnsi="Verdana" w:cs="Times New Roman"/>
        </w:rPr>
        <w:t xml:space="preserve">any participants described a tipping point in the </w:t>
      </w:r>
      <w:r w:rsidRPr="00EC14F2">
        <w:rPr>
          <w:rFonts w:ascii="Verdana" w:hAnsi="Verdana" w:cs="Times New Roman"/>
        </w:rPr>
        <w:t xml:space="preserve">deinstitutionalisation </w:t>
      </w:r>
      <w:r w:rsidR="00540C33" w:rsidRPr="00EC14F2">
        <w:rPr>
          <w:rFonts w:ascii="Verdana" w:hAnsi="Verdana" w:cs="Times New Roman"/>
        </w:rPr>
        <w:t xml:space="preserve">process, </w:t>
      </w:r>
      <w:r w:rsidRPr="00EC14F2">
        <w:rPr>
          <w:rFonts w:ascii="Verdana" w:hAnsi="Verdana" w:cs="Times New Roman"/>
        </w:rPr>
        <w:t xml:space="preserve">when most of </w:t>
      </w:r>
      <w:r w:rsidR="00540C33" w:rsidRPr="00EC14F2">
        <w:rPr>
          <w:rFonts w:ascii="Verdana" w:hAnsi="Verdana" w:cs="Times New Roman"/>
        </w:rPr>
        <w:t xml:space="preserve">those involved accept </w:t>
      </w:r>
      <w:r w:rsidRPr="00EC14F2">
        <w:rPr>
          <w:rFonts w:ascii="Verdana" w:hAnsi="Verdana" w:cs="Times New Roman"/>
        </w:rPr>
        <w:t>the transition to the community as the new ‘norm’. After the tipping point,</w:t>
      </w:r>
      <w:r w:rsidR="00540C33" w:rsidRPr="00EC14F2">
        <w:rPr>
          <w:rFonts w:ascii="Verdana" w:hAnsi="Verdana" w:cs="Times New Roman"/>
        </w:rPr>
        <w:t xml:space="preserve"> the process move</w:t>
      </w:r>
      <w:r w:rsidRPr="00EC14F2">
        <w:rPr>
          <w:rFonts w:ascii="Verdana" w:hAnsi="Verdana" w:cs="Times New Roman"/>
        </w:rPr>
        <w:t>s</w:t>
      </w:r>
      <w:r w:rsidR="00540C33" w:rsidRPr="00EC14F2">
        <w:rPr>
          <w:rFonts w:ascii="Verdana" w:hAnsi="Verdana" w:cs="Times New Roman"/>
        </w:rPr>
        <w:t xml:space="preserve"> much </w:t>
      </w:r>
      <w:r w:rsidRPr="00EC14F2">
        <w:rPr>
          <w:rFonts w:ascii="Verdana" w:hAnsi="Verdana" w:cs="Times New Roman"/>
        </w:rPr>
        <w:t>more quickly</w:t>
      </w:r>
      <w:r w:rsidR="00540C33" w:rsidRPr="00EC14F2">
        <w:rPr>
          <w:rFonts w:ascii="Verdana" w:hAnsi="Verdana" w:cs="Times New Roman"/>
        </w:rPr>
        <w:t xml:space="preserve">. </w:t>
      </w:r>
      <w:r w:rsidR="00855079" w:rsidRPr="00EC14F2">
        <w:rPr>
          <w:rFonts w:ascii="Verdana" w:hAnsi="Verdana" w:cs="Times New Roman"/>
        </w:rPr>
        <w:t>Participants tied reaching the tipping point to a change in attitudes among those involved in deinstitutionalisation – one of the key factors of successful deinstitutionalisation processes identified by the FRA research:</w:t>
      </w:r>
    </w:p>
    <w:p w14:paraId="330D51BF" w14:textId="6631EE1C" w:rsidR="00855079" w:rsidRPr="00EC14F2" w:rsidRDefault="006A1986" w:rsidP="00EC14F2">
      <w:pPr>
        <w:pStyle w:val="ListParagraph"/>
        <w:numPr>
          <w:ilvl w:val="0"/>
          <w:numId w:val="7"/>
        </w:numPr>
        <w:rPr>
          <w:rFonts w:ascii="Verdana" w:hAnsi="Verdana" w:cs="Times New Roman"/>
          <w:i/>
        </w:rPr>
      </w:pPr>
      <w:r w:rsidRPr="00EC14F2">
        <w:rPr>
          <w:rFonts w:ascii="Verdana" w:hAnsi="Verdana" w:cs="Times New Roman"/>
        </w:rPr>
        <w:t xml:space="preserve">People with disabilities </w:t>
      </w:r>
      <w:r w:rsidR="00855079" w:rsidRPr="00EC14F2">
        <w:rPr>
          <w:rFonts w:ascii="Verdana" w:hAnsi="Verdana" w:cs="Times New Roman"/>
        </w:rPr>
        <w:t>are</w:t>
      </w:r>
      <w:r w:rsidRPr="00EC14F2">
        <w:rPr>
          <w:rFonts w:ascii="Verdana" w:hAnsi="Verdana" w:cs="Times New Roman"/>
        </w:rPr>
        <w:t xml:space="preserve"> empowered to demand better living situations</w:t>
      </w:r>
      <w:r w:rsidR="00860152" w:rsidRPr="00EC14F2">
        <w:rPr>
          <w:rFonts w:ascii="Verdana" w:hAnsi="Verdana" w:cs="Times New Roman"/>
        </w:rPr>
        <w:t>.</w:t>
      </w:r>
    </w:p>
    <w:p w14:paraId="6D925B53" w14:textId="61DB5513" w:rsidR="00855079" w:rsidRPr="00EC14F2" w:rsidRDefault="006A1986" w:rsidP="00EC14F2">
      <w:pPr>
        <w:pStyle w:val="ListParagraph"/>
        <w:numPr>
          <w:ilvl w:val="0"/>
          <w:numId w:val="7"/>
        </w:numPr>
        <w:rPr>
          <w:rFonts w:ascii="Verdana" w:hAnsi="Verdana" w:cs="Times New Roman"/>
          <w:i/>
        </w:rPr>
      </w:pPr>
      <w:r w:rsidRPr="00EC14F2">
        <w:rPr>
          <w:rFonts w:ascii="Verdana" w:hAnsi="Verdana" w:cs="Times New Roman"/>
        </w:rPr>
        <w:t>Families</w:t>
      </w:r>
      <w:r w:rsidR="00855079" w:rsidRPr="00EC14F2">
        <w:rPr>
          <w:rFonts w:ascii="Verdana" w:hAnsi="Verdana" w:cs="Times New Roman"/>
        </w:rPr>
        <w:t>’</w:t>
      </w:r>
      <w:r w:rsidRPr="00EC14F2">
        <w:rPr>
          <w:rFonts w:ascii="Verdana" w:hAnsi="Verdana" w:cs="Times New Roman"/>
        </w:rPr>
        <w:t xml:space="preserve"> fears for the safety and security of their family members in</w:t>
      </w:r>
      <w:r w:rsidR="00855079" w:rsidRPr="00EC14F2">
        <w:rPr>
          <w:rFonts w:ascii="Verdana" w:hAnsi="Verdana" w:cs="Times New Roman"/>
        </w:rPr>
        <w:t xml:space="preserve"> the</w:t>
      </w:r>
      <w:r w:rsidRPr="00EC14F2">
        <w:rPr>
          <w:rFonts w:ascii="Verdana" w:hAnsi="Verdana" w:cs="Times New Roman"/>
        </w:rPr>
        <w:t xml:space="preserve"> community </w:t>
      </w:r>
      <w:r w:rsidR="00855079" w:rsidRPr="00EC14F2">
        <w:rPr>
          <w:rFonts w:ascii="Verdana" w:hAnsi="Verdana" w:cs="Times New Roman"/>
        </w:rPr>
        <w:t>ease</w:t>
      </w:r>
      <w:r w:rsidRPr="00EC14F2">
        <w:rPr>
          <w:rFonts w:ascii="Verdana" w:hAnsi="Verdana" w:cs="Times New Roman"/>
        </w:rPr>
        <w:t xml:space="preserve">. </w:t>
      </w:r>
    </w:p>
    <w:p w14:paraId="5E684593" w14:textId="77777777" w:rsidR="00EE0D90" w:rsidRPr="00EC14F2" w:rsidRDefault="00855079" w:rsidP="00EC14F2">
      <w:pPr>
        <w:pStyle w:val="ListParagraph"/>
        <w:numPr>
          <w:ilvl w:val="0"/>
          <w:numId w:val="7"/>
        </w:numPr>
        <w:rPr>
          <w:rFonts w:ascii="Verdana" w:hAnsi="Verdana" w:cs="Times New Roman"/>
        </w:rPr>
      </w:pPr>
      <w:r w:rsidRPr="00EC14F2">
        <w:rPr>
          <w:rFonts w:ascii="Verdana" w:hAnsi="Verdana" w:cs="Times New Roman"/>
        </w:rPr>
        <w:t>S</w:t>
      </w:r>
      <w:r w:rsidR="006A1986" w:rsidRPr="00EC14F2">
        <w:rPr>
          <w:rFonts w:ascii="Verdana" w:hAnsi="Verdana" w:cs="Times New Roman"/>
        </w:rPr>
        <w:t xml:space="preserve">taff of institutions </w:t>
      </w:r>
      <w:r w:rsidRPr="00EC14F2">
        <w:rPr>
          <w:rFonts w:ascii="Verdana" w:hAnsi="Verdana" w:cs="Times New Roman"/>
        </w:rPr>
        <w:t>overcome</w:t>
      </w:r>
      <w:r w:rsidR="0092069E" w:rsidRPr="00EC14F2">
        <w:rPr>
          <w:rFonts w:ascii="Verdana" w:hAnsi="Verdana" w:cs="Times New Roman"/>
        </w:rPr>
        <w:t xml:space="preserve"> concern about </w:t>
      </w:r>
      <w:r w:rsidRPr="00EC14F2">
        <w:rPr>
          <w:rFonts w:ascii="Verdana" w:hAnsi="Verdana" w:cs="Times New Roman"/>
        </w:rPr>
        <w:t xml:space="preserve">the </w:t>
      </w:r>
      <w:r w:rsidR="0092069E" w:rsidRPr="00EC14F2">
        <w:rPr>
          <w:rFonts w:ascii="Verdana" w:hAnsi="Verdana" w:cs="Times New Roman"/>
        </w:rPr>
        <w:t xml:space="preserve">security of </w:t>
      </w:r>
      <w:r w:rsidRPr="00EC14F2">
        <w:rPr>
          <w:rFonts w:ascii="Verdana" w:hAnsi="Verdana" w:cs="Times New Roman"/>
        </w:rPr>
        <w:t xml:space="preserve">their </w:t>
      </w:r>
      <w:r w:rsidR="0092069E" w:rsidRPr="00EC14F2">
        <w:rPr>
          <w:rFonts w:ascii="Verdana" w:hAnsi="Verdana" w:cs="Times New Roman"/>
        </w:rPr>
        <w:t>employment</w:t>
      </w:r>
      <w:r w:rsidR="00540C33" w:rsidRPr="00EC14F2">
        <w:rPr>
          <w:rFonts w:ascii="Verdana" w:hAnsi="Verdana" w:cs="Times New Roman"/>
        </w:rPr>
        <w:t xml:space="preserve"> and </w:t>
      </w:r>
      <w:r w:rsidRPr="00EC14F2">
        <w:rPr>
          <w:rFonts w:ascii="Verdana" w:hAnsi="Verdana" w:cs="Times New Roman"/>
        </w:rPr>
        <w:t xml:space="preserve">the </w:t>
      </w:r>
      <w:r w:rsidR="00540C33" w:rsidRPr="00EC14F2">
        <w:rPr>
          <w:rFonts w:ascii="Verdana" w:hAnsi="Verdana" w:cs="Times New Roman"/>
        </w:rPr>
        <w:t>safety of their clients</w:t>
      </w:r>
      <w:r w:rsidRPr="00EC14F2">
        <w:rPr>
          <w:rFonts w:ascii="Verdana" w:hAnsi="Verdana" w:cs="Times New Roman"/>
        </w:rPr>
        <w:t>. They come</w:t>
      </w:r>
      <w:r w:rsidR="0092069E" w:rsidRPr="00EC14F2">
        <w:rPr>
          <w:rFonts w:ascii="Verdana" w:hAnsi="Verdana" w:cs="Times New Roman"/>
        </w:rPr>
        <w:t xml:space="preserve"> to understand that deinstitutionalisation </w:t>
      </w:r>
      <w:r w:rsidRPr="00EC14F2">
        <w:rPr>
          <w:rFonts w:ascii="Verdana" w:hAnsi="Verdana" w:cs="Times New Roman"/>
        </w:rPr>
        <w:t xml:space="preserve">is </w:t>
      </w:r>
      <w:r w:rsidR="0092069E" w:rsidRPr="00EC14F2">
        <w:rPr>
          <w:rFonts w:ascii="Verdana" w:hAnsi="Verdana" w:cs="Times New Roman"/>
        </w:rPr>
        <w:t xml:space="preserve">best for the people they serve. </w:t>
      </w:r>
      <w:r w:rsidR="004475D4" w:rsidRPr="00EC14F2">
        <w:rPr>
          <w:rFonts w:ascii="Verdana" w:hAnsi="Verdana" w:cs="Times New Roman"/>
        </w:rPr>
        <w:t xml:space="preserve">As one employee </w:t>
      </w:r>
      <w:r w:rsidRPr="00EC14F2">
        <w:rPr>
          <w:rFonts w:ascii="Verdana" w:hAnsi="Verdana" w:cs="Times New Roman"/>
        </w:rPr>
        <w:t>noted</w:t>
      </w:r>
      <w:r w:rsidR="004475D4" w:rsidRPr="00EC14F2">
        <w:rPr>
          <w:rFonts w:ascii="Verdana" w:hAnsi="Verdana" w:cs="Times New Roman"/>
        </w:rPr>
        <w:t xml:space="preserve">: </w:t>
      </w:r>
      <w:r w:rsidR="004475D4" w:rsidRPr="00EC14F2">
        <w:rPr>
          <w:rFonts w:ascii="Verdana" w:hAnsi="Verdana" w:cs="Times New Roman"/>
          <w:i/>
        </w:rPr>
        <w:t>“first of all we have to</w:t>
      </w:r>
      <w:r w:rsidR="007D29F3" w:rsidRPr="00EC14F2">
        <w:rPr>
          <w:rFonts w:ascii="Verdana" w:hAnsi="Verdana" w:cs="Times New Roman"/>
          <w:i/>
        </w:rPr>
        <w:t xml:space="preserve"> change since we work with them. A</w:t>
      </w:r>
      <w:r w:rsidR="004475D4" w:rsidRPr="00EC14F2">
        <w:rPr>
          <w:rFonts w:ascii="Verdana" w:hAnsi="Verdana" w:cs="Times New Roman"/>
          <w:i/>
        </w:rPr>
        <w:t>fter that</w:t>
      </w:r>
      <w:r w:rsidR="007D29F3" w:rsidRPr="00EC14F2">
        <w:rPr>
          <w:rFonts w:ascii="Verdana" w:hAnsi="Verdana" w:cs="Times New Roman"/>
          <w:i/>
        </w:rPr>
        <w:t>, I think</w:t>
      </w:r>
      <w:r w:rsidR="004475D4" w:rsidRPr="00EC14F2">
        <w:rPr>
          <w:rFonts w:ascii="Verdana" w:hAnsi="Verdana" w:cs="Times New Roman"/>
          <w:i/>
        </w:rPr>
        <w:t xml:space="preserve"> the change will spread.” </w:t>
      </w:r>
      <w:r w:rsidR="004475D4" w:rsidRPr="00EC14F2">
        <w:rPr>
          <w:rFonts w:ascii="Verdana" w:hAnsi="Verdana" w:cs="Times New Roman"/>
        </w:rPr>
        <w:t>(</w:t>
      </w:r>
      <w:r w:rsidR="0057390E" w:rsidRPr="00EC14F2">
        <w:rPr>
          <w:rFonts w:ascii="Verdana" w:hAnsi="Verdana" w:cs="Times New Roman"/>
        </w:rPr>
        <w:t xml:space="preserve">Italy, </w:t>
      </w:r>
      <w:r w:rsidR="00EE0D90" w:rsidRPr="00EC14F2">
        <w:rPr>
          <w:rFonts w:ascii="Verdana" w:hAnsi="Verdana" w:cs="Times New Roman"/>
        </w:rPr>
        <w:t>employee of a  community-based service</w:t>
      </w:r>
      <w:r w:rsidR="004475D4" w:rsidRPr="00EC14F2">
        <w:rPr>
          <w:rFonts w:ascii="Verdana" w:hAnsi="Verdana" w:cs="Times New Roman"/>
        </w:rPr>
        <w:t>)</w:t>
      </w:r>
    </w:p>
    <w:p w14:paraId="51ABBE61" w14:textId="6EA9CF86" w:rsidR="003D61A8" w:rsidRPr="00EC14F2" w:rsidRDefault="00855079" w:rsidP="00EC14F2">
      <w:pPr>
        <w:rPr>
          <w:rFonts w:ascii="Verdana" w:hAnsi="Verdana" w:cs="Times New Roman"/>
        </w:rPr>
      </w:pPr>
      <w:r w:rsidRPr="00EC14F2">
        <w:rPr>
          <w:rFonts w:ascii="Verdana" w:hAnsi="Verdana" w:cs="Times New Roman"/>
        </w:rPr>
        <w:lastRenderedPageBreak/>
        <w:t>This change in attitudes can occur in different ways</w:t>
      </w:r>
      <w:r w:rsidR="0092069E" w:rsidRPr="00EC14F2">
        <w:rPr>
          <w:rFonts w:ascii="Verdana" w:hAnsi="Verdana" w:cs="Times New Roman"/>
        </w:rPr>
        <w:t>.</w:t>
      </w:r>
      <w:r w:rsidR="00033B60" w:rsidRPr="00EC14F2">
        <w:rPr>
          <w:rFonts w:ascii="Verdana" w:hAnsi="Verdana" w:cs="Times New Roman"/>
        </w:rPr>
        <w:t xml:space="preserve"> </w:t>
      </w:r>
      <w:r w:rsidR="003D61A8" w:rsidRPr="00EC14F2">
        <w:rPr>
          <w:rFonts w:ascii="Verdana" w:hAnsi="Verdana" w:cs="Times New Roman"/>
        </w:rPr>
        <w:t>G</w:t>
      </w:r>
      <w:r w:rsidRPr="00EC14F2">
        <w:rPr>
          <w:rFonts w:ascii="Verdana" w:hAnsi="Verdana" w:cs="Times New Roman"/>
        </w:rPr>
        <w:t xml:space="preserve">iving </w:t>
      </w:r>
      <w:r w:rsidR="0092069E" w:rsidRPr="00EC14F2">
        <w:rPr>
          <w:rFonts w:ascii="Verdana" w:hAnsi="Verdana" w:cs="Times New Roman"/>
        </w:rPr>
        <w:t xml:space="preserve">staff and management </w:t>
      </w:r>
      <w:r w:rsidRPr="00EC14F2">
        <w:rPr>
          <w:rFonts w:ascii="Verdana" w:hAnsi="Verdana" w:cs="Times New Roman"/>
        </w:rPr>
        <w:t xml:space="preserve">the opportunity to learn from deinstitutionalisation processes elsewhere </w:t>
      </w:r>
      <w:r w:rsidR="003D61A8" w:rsidRPr="00EC14F2">
        <w:rPr>
          <w:rFonts w:ascii="Verdana" w:hAnsi="Verdana" w:cs="Times New Roman"/>
        </w:rPr>
        <w:t>can be</w:t>
      </w:r>
      <w:r w:rsidR="0092069E" w:rsidRPr="00EC14F2">
        <w:rPr>
          <w:rFonts w:ascii="Verdana" w:hAnsi="Verdana" w:cs="Times New Roman"/>
        </w:rPr>
        <w:t xml:space="preserve"> key</w:t>
      </w:r>
      <w:r w:rsidR="003D61A8" w:rsidRPr="00EC14F2">
        <w:rPr>
          <w:rFonts w:ascii="Verdana" w:hAnsi="Verdana" w:cs="Times New Roman"/>
        </w:rPr>
        <w:t>:</w:t>
      </w:r>
      <w:r w:rsidR="0092069E" w:rsidRPr="00EC14F2">
        <w:rPr>
          <w:rFonts w:ascii="Verdana" w:hAnsi="Verdana" w:cs="Times New Roman"/>
        </w:rPr>
        <w:t xml:space="preserve"> </w:t>
      </w:r>
    </w:p>
    <w:p w14:paraId="31ECD4C6" w14:textId="2950512C" w:rsidR="003D61A8" w:rsidRPr="00EC14F2" w:rsidRDefault="003D61A8" w:rsidP="00EC14F2">
      <w:pPr>
        <w:ind w:left="720"/>
        <w:rPr>
          <w:rFonts w:ascii="Verdana" w:hAnsi="Verdana" w:cs="Times New Roman"/>
        </w:rPr>
      </w:pPr>
      <w:r w:rsidRPr="00EC14F2">
        <w:rPr>
          <w:rFonts w:ascii="Verdana" w:hAnsi="Verdana" w:cs="Times New Roman"/>
        </w:rPr>
        <w:t>“</w:t>
      </w:r>
      <w:r w:rsidR="0092069E" w:rsidRPr="00EC14F2">
        <w:rPr>
          <w:rFonts w:ascii="Verdana" w:hAnsi="Verdana" w:cs="Times New Roman"/>
          <w:i/>
        </w:rPr>
        <w:t>When we met with people from the Czech Republi</w:t>
      </w:r>
      <w:r w:rsidRPr="00EC14F2">
        <w:rPr>
          <w:rFonts w:ascii="Verdana" w:hAnsi="Verdana" w:cs="Times New Roman"/>
          <w:i/>
        </w:rPr>
        <w:t xml:space="preserve">c </w:t>
      </w:r>
      <w:r w:rsidR="0092069E" w:rsidRPr="00EC14F2">
        <w:rPr>
          <w:rFonts w:ascii="Verdana" w:hAnsi="Verdana" w:cs="Times New Roman"/>
          <w:i/>
        </w:rPr>
        <w:t xml:space="preserve">who used concrete examples to [show employees] why the existing system was not good, that was basically the moment when tables began to turn, bit by bit. </w:t>
      </w:r>
      <w:r w:rsidR="007D29F3" w:rsidRPr="00EC14F2">
        <w:rPr>
          <w:rFonts w:ascii="Verdana" w:hAnsi="Verdana" w:cs="Times New Roman"/>
          <w:i/>
        </w:rPr>
        <w:t xml:space="preserve">[…] </w:t>
      </w:r>
      <w:r w:rsidR="0092069E" w:rsidRPr="00EC14F2">
        <w:rPr>
          <w:rFonts w:ascii="Verdana" w:hAnsi="Verdana" w:cs="Times New Roman"/>
          <w:i/>
        </w:rPr>
        <w:t>[</w:t>
      </w:r>
      <w:r w:rsidRPr="00EC14F2">
        <w:rPr>
          <w:rFonts w:ascii="Verdana" w:hAnsi="Verdana" w:cs="Times New Roman"/>
          <w:i/>
        </w:rPr>
        <w:t>T</w:t>
      </w:r>
      <w:r w:rsidR="0092069E" w:rsidRPr="00EC14F2">
        <w:rPr>
          <w:rFonts w:ascii="Verdana" w:hAnsi="Verdana" w:cs="Times New Roman"/>
          <w:i/>
        </w:rPr>
        <w:t xml:space="preserve">he employees] began to [realise] that it really made sense for the clients to see the quality [of provided services] increase. And this information began to change them.” </w:t>
      </w:r>
      <w:r w:rsidR="0092069E" w:rsidRPr="00EC14F2">
        <w:rPr>
          <w:rFonts w:ascii="Verdana" w:hAnsi="Verdana" w:cs="Times New Roman"/>
        </w:rPr>
        <w:t>(</w:t>
      </w:r>
      <w:r w:rsidRPr="00EC14F2">
        <w:rPr>
          <w:rFonts w:ascii="Verdana" w:hAnsi="Verdana" w:cs="Times New Roman"/>
        </w:rPr>
        <w:t>Slovakia, r</w:t>
      </w:r>
      <w:r w:rsidR="0092069E" w:rsidRPr="00EC14F2">
        <w:rPr>
          <w:rFonts w:ascii="Verdana" w:hAnsi="Verdana" w:cs="Times New Roman"/>
        </w:rPr>
        <w:t xml:space="preserve">egional policymaker) </w:t>
      </w:r>
    </w:p>
    <w:p w14:paraId="32CFAD55" w14:textId="5C6B9560" w:rsidR="00033B60" w:rsidRPr="00EC14F2" w:rsidRDefault="00033B60" w:rsidP="00EC14F2">
      <w:pPr>
        <w:rPr>
          <w:rFonts w:ascii="Verdana" w:hAnsi="Verdana" w:cs="Times New Roman"/>
        </w:rPr>
      </w:pPr>
      <w:r w:rsidRPr="00EC14F2">
        <w:rPr>
          <w:rFonts w:ascii="Verdana" w:hAnsi="Verdana" w:cs="Times New Roman"/>
        </w:rPr>
        <w:t xml:space="preserve">In </w:t>
      </w:r>
      <w:r w:rsidR="003367B3" w:rsidRPr="00EC14F2">
        <w:rPr>
          <w:rFonts w:ascii="Verdana" w:hAnsi="Verdana" w:cs="Times New Roman"/>
        </w:rPr>
        <w:t>addition</w:t>
      </w:r>
      <w:r w:rsidR="00202B04" w:rsidRPr="00EC14F2">
        <w:rPr>
          <w:rFonts w:ascii="Verdana" w:hAnsi="Verdana" w:cs="Times New Roman"/>
        </w:rPr>
        <w:t xml:space="preserve">, </w:t>
      </w:r>
      <w:r w:rsidRPr="00EC14F2">
        <w:rPr>
          <w:rFonts w:ascii="Verdana" w:hAnsi="Verdana" w:cs="Times New Roman"/>
        </w:rPr>
        <w:t xml:space="preserve">strong commitment to deinstitutionalisation </w:t>
      </w:r>
      <w:r w:rsidR="003367B3" w:rsidRPr="00EC14F2">
        <w:rPr>
          <w:rFonts w:ascii="Verdana" w:hAnsi="Verdana" w:cs="Times New Roman"/>
        </w:rPr>
        <w:t xml:space="preserve">among </w:t>
      </w:r>
      <w:r w:rsidRPr="00EC14F2">
        <w:rPr>
          <w:rFonts w:ascii="Verdana" w:hAnsi="Verdana" w:cs="Times New Roman"/>
        </w:rPr>
        <w:t>senior management</w:t>
      </w:r>
      <w:r w:rsidR="00202B04" w:rsidRPr="00EC14F2">
        <w:rPr>
          <w:rFonts w:ascii="Verdana" w:hAnsi="Verdana" w:cs="Times New Roman"/>
        </w:rPr>
        <w:t xml:space="preserve"> or in the wider community </w:t>
      </w:r>
      <w:r w:rsidR="003367B3" w:rsidRPr="00EC14F2">
        <w:rPr>
          <w:rFonts w:ascii="Verdana" w:hAnsi="Verdana" w:cs="Times New Roman"/>
        </w:rPr>
        <w:t>can help the process reach the tipping point</w:t>
      </w:r>
      <w:r w:rsidR="00202B04" w:rsidRPr="00EC14F2">
        <w:rPr>
          <w:rFonts w:ascii="Verdana" w:hAnsi="Verdana" w:cs="Times New Roman"/>
        </w:rPr>
        <w:t xml:space="preserve">. </w:t>
      </w:r>
    </w:p>
    <w:p w14:paraId="75BC5E22" w14:textId="36D38C7E" w:rsidR="003D57CA" w:rsidRPr="00EC14F2" w:rsidRDefault="003D57CA" w:rsidP="00EC14F2">
      <w:pPr>
        <w:pStyle w:val="Heading2"/>
        <w:rPr>
          <w:rFonts w:ascii="Verdana" w:hAnsi="Verdana"/>
        </w:rPr>
      </w:pPr>
      <w:r w:rsidRPr="00EC14F2">
        <w:rPr>
          <w:rFonts w:ascii="Verdana" w:hAnsi="Verdana"/>
        </w:rPr>
        <w:t>Policy implications</w:t>
      </w:r>
    </w:p>
    <w:p w14:paraId="7DE95949" w14:textId="4B6878C2" w:rsidR="002C1C53" w:rsidRPr="00EC14F2" w:rsidRDefault="002C1C53" w:rsidP="00EC14F2">
      <w:pPr>
        <w:rPr>
          <w:rFonts w:ascii="Verdana" w:hAnsi="Verdana" w:cs="Times New Roman"/>
        </w:rPr>
      </w:pPr>
      <w:r w:rsidRPr="00EC14F2">
        <w:rPr>
          <w:rFonts w:ascii="Verdana" w:hAnsi="Verdana" w:cs="Times New Roman"/>
        </w:rPr>
        <w:t>The</w:t>
      </w:r>
      <w:r w:rsidR="00202B04" w:rsidRPr="00EC14F2">
        <w:rPr>
          <w:rFonts w:ascii="Verdana" w:hAnsi="Verdana" w:cs="Times New Roman"/>
        </w:rPr>
        <w:t xml:space="preserve"> sustained momentum </w:t>
      </w:r>
      <w:r w:rsidRPr="00EC14F2">
        <w:rPr>
          <w:rFonts w:ascii="Verdana" w:hAnsi="Verdana" w:cs="Times New Roman"/>
        </w:rPr>
        <w:t>required to reach the tipping point</w:t>
      </w:r>
      <w:r w:rsidR="00202B04" w:rsidRPr="00EC14F2">
        <w:rPr>
          <w:rFonts w:ascii="Verdana" w:hAnsi="Verdana" w:cs="Times New Roman"/>
        </w:rPr>
        <w:t xml:space="preserve"> has implications </w:t>
      </w:r>
      <w:r w:rsidRPr="00EC14F2">
        <w:rPr>
          <w:rFonts w:ascii="Verdana" w:hAnsi="Verdana" w:cs="Times New Roman"/>
        </w:rPr>
        <w:t>for the funding of pilot projects or the first stages of deinstitutionalisation processes</w:t>
      </w:r>
      <w:r w:rsidR="00202B04" w:rsidRPr="00EC14F2">
        <w:rPr>
          <w:rFonts w:ascii="Verdana" w:hAnsi="Verdana" w:cs="Times New Roman"/>
        </w:rPr>
        <w:t xml:space="preserve">. </w:t>
      </w:r>
      <w:r w:rsidR="000A6F53" w:rsidRPr="00EC14F2">
        <w:rPr>
          <w:rFonts w:ascii="Verdana" w:hAnsi="Verdana" w:cs="Times New Roman"/>
        </w:rPr>
        <w:t>I</w:t>
      </w:r>
      <w:r w:rsidRPr="00EC14F2">
        <w:rPr>
          <w:rFonts w:ascii="Verdana" w:hAnsi="Verdana" w:cs="Times New Roman"/>
        </w:rPr>
        <w:t xml:space="preserve">t highlights the importance of a plan for when </w:t>
      </w:r>
      <w:r w:rsidR="00202B04" w:rsidRPr="00EC14F2">
        <w:rPr>
          <w:rFonts w:ascii="Verdana" w:hAnsi="Verdana" w:cs="Times New Roman"/>
        </w:rPr>
        <w:t xml:space="preserve">the pilot project </w:t>
      </w:r>
      <w:r w:rsidRPr="00EC14F2">
        <w:rPr>
          <w:rFonts w:ascii="Verdana" w:hAnsi="Verdana" w:cs="Times New Roman"/>
        </w:rPr>
        <w:t>or initial deinstitutionalisation measures end</w:t>
      </w:r>
      <w:r w:rsidR="00202B04" w:rsidRPr="00EC14F2">
        <w:rPr>
          <w:rFonts w:ascii="Verdana" w:hAnsi="Verdana" w:cs="Times New Roman"/>
        </w:rPr>
        <w:t xml:space="preserve">. </w:t>
      </w:r>
      <w:r w:rsidRPr="00EC14F2">
        <w:rPr>
          <w:rFonts w:ascii="Verdana" w:hAnsi="Verdana" w:cs="Times New Roman"/>
        </w:rPr>
        <w:t>F</w:t>
      </w:r>
      <w:r w:rsidR="00FD6F7C" w:rsidRPr="00EC14F2">
        <w:rPr>
          <w:rFonts w:ascii="Verdana" w:hAnsi="Verdana" w:cs="Times New Roman"/>
        </w:rPr>
        <w:t>inancing</w:t>
      </w:r>
      <w:r w:rsidRPr="00EC14F2">
        <w:rPr>
          <w:rFonts w:ascii="Verdana" w:hAnsi="Verdana" w:cs="Times New Roman"/>
        </w:rPr>
        <w:t xml:space="preserve"> from the European Structural and Investment Funds (ESIF)</w:t>
      </w:r>
      <w:r w:rsidR="00FD6F7C" w:rsidRPr="00EC14F2">
        <w:rPr>
          <w:rFonts w:ascii="Verdana" w:hAnsi="Verdana" w:cs="Times New Roman"/>
        </w:rPr>
        <w:t xml:space="preserve"> </w:t>
      </w:r>
      <w:r w:rsidR="00672B12" w:rsidRPr="00EC14F2">
        <w:rPr>
          <w:rFonts w:ascii="Verdana" w:hAnsi="Verdana" w:cs="Times New Roman"/>
        </w:rPr>
        <w:t>supports</w:t>
      </w:r>
      <w:r w:rsidR="00AC2C79" w:rsidRPr="00EC14F2">
        <w:rPr>
          <w:rFonts w:ascii="Verdana" w:hAnsi="Verdana" w:cs="Times New Roman"/>
        </w:rPr>
        <w:t xml:space="preserve"> the </w:t>
      </w:r>
      <w:r w:rsidR="00672B12" w:rsidRPr="00EC14F2">
        <w:rPr>
          <w:rFonts w:ascii="Verdana" w:hAnsi="Verdana" w:cs="Times New Roman"/>
        </w:rPr>
        <w:t xml:space="preserve">development </w:t>
      </w:r>
      <w:r w:rsidR="00AC2C79" w:rsidRPr="00EC14F2">
        <w:rPr>
          <w:rFonts w:ascii="Verdana" w:hAnsi="Verdana" w:cs="Times New Roman"/>
        </w:rPr>
        <w:t xml:space="preserve">of </w:t>
      </w:r>
      <w:r w:rsidRPr="00EC14F2">
        <w:rPr>
          <w:rFonts w:ascii="Verdana" w:hAnsi="Verdana" w:cs="Times New Roman"/>
        </w:rPr>
        <w:t xml:space="preserve">new </w:t>
      </w:r>
      <w:r w:rsidR="00AC2C79" w:rsidRPr="00EC14F2">
        <w:rPr>
          <w:rFonts w:ascii="Verdana" w:hAnsi="Verdana" w:cs="Times New Roman"/>
        </w:rPr>
        <w:t>community based services</w:t>
      </w:r>
      <w:r w:rsidRPr="00EC14F2">
        <w:rPr>
          <w:rFonts w:ascii="Verdana" w:hAnsi="Verdana" w:cs="Times New Roman"/>
        </w:rPr>
        <w:t xml:space="preserve"> in a number of EU Member States</w:t>
      </w:r>
      <w:r w:rsidR="00AC2C79" w:rsidRPr="00EC14F2">
        <w:rPr>
          <w:rFonts w:ascii="Verdana" w:hAnsi="Verdana" w:cs="Times New Roman"/>
        </w:rPr>
        <w:t xml:space="preserve">. However, </w:t>
      </w:r>
      <w:r w:rsidRPr="00EC14F2">
        <w:rPr>
          <w:rFonts w:ascii="Verdana" w:hAnsi="Verdana" w:cs="Times New Roman"/>
        </w:rPr>
        <w:t xml:space="preserve">FRA research suggests </w:t>
      </w:r>
      <w:r w:rsidR="00AC2C79" w:rsidRPr="00EC14F2">
        <w:rPr>
          <w:rFonts w:ascii="Verdana" w:hAnsi="Verdana" w:cs="Times New Roman"/>
        </w:rPr>
        <w:t xml:space="preserve">there is often a gap </w:t>
      </w:r>
      <w:r w:rsidRPr="00EC14F2">
        <w:rPr>
          <w:rFonts w:ascii="Verdana" w:hAnsi="Verdana" w:cs="Times New Roman"/>
        </w:rPr>
        <w:t xml:space="preserve">between the end of the pilot project and the start of national funding for </w:t>
      </w:r>
      <w:r w:rsidR="00AC2C79" w:rsidRPr="00EC14F2">
        <w:rPr>
          <w:rFonts w:ascii="Verdana" w:hAnsi="Verdana" w:cs="Times New Roman"/>
        </w:rPr>
        <w:t>the service</w:t>
      </w:r>
      <w:r w:rsidRPr="00EC14F2">
        <w:rPr>
          <w:rFonts w:ascii="Verdana" w:hAnsi="Verdana" w:cs="Times New Roman"/>
        </w:rPr>
        <w:t>.</w:t>
      </w:r>
      <w:r w:rsidR="00AC2C79" w:rsidRPr="00EC14F2">
        <w:rPr>
          <w:rFonts w:ascii="Verdana" w:hAnsi="Verdana" w:cs="Times New Roman"/>
        </w:rPr>
        <w:t xml:space="preserve"> </w:t>
      </w:r>
      <w:r w:rsidR="000A6F53" w:rsidRPr="00EC14F2">
        <w:rPr>
          <w:rFonts w:ascii="Verdana" w:hAnsi="Verdana" w:cs="Times New Roman"/>
        </w:rPr>
        <w:t xml:space="preserve">Even </w:t>
      </w:r>
      <w:r w:rsidR="000A6F53" w:rsidRPr="00EC14F2">
        <w:rPr>
          <w:rFonts w:ascii="Verdana" w:hAnsi="Verdana" w:cs="Times New Roman"/>
        </w:rPr>
        <w:lastRenderedPageBreak/>
        <w:t>where</w:t>
      </w:r>
      <w:r w:rsidR="00AC2C79" w:rsidRPr="00EC14F2">
        <w:rPr>
          <w:rFonts w:ascii="Verdana" w:hAnsi="Verdana" w:cs="Times New Roman"/>
        </w:rPr>
        <w:t xml:space="preserve"> </w:t>
      </w:r>
      <w:r w:rsidR="000A6F53" w:rsidRPr="00EC14F2">
        <w:rPr>
          <w:rFonts w:ascii="Verdana" w:hAnsi="Verdana" w:cs="Times New Roman"/>
        </w:rPr>
        <w:t>national financing is available</w:t>
      </w:r>
      <w:r w:rsidR="00AC2C79" w:rsidRPr="00EC14F2">
        <w:rPr>
          <w:rFonts w:ascii="Verdana" w:hAnsi="Verdana" w:cs="Times New Roman"/>
        </w:rPr>
        <w:t xml:space="preserve">, </w:t>
      </w:r>
      <w:r w:rsidR="000A6F53" w:rsidRPr="00EC14F2">
        <w:rPr>
          <w:rFonts w:ascii="Verdana" w:hAnsi="Verdana" w:cs="Times New Roman"/>
        </w:rPr>
        <w:t>it is often not sufficient to maintain previous quality standards</w:t>
      </w:r>
      <w:r w:rsidR="00AC2C79" w:rsidRPr="00EC14F2">
        <w:rPr>
          <w:rFonts w:ascii="Verdana" w:hAnsi="Verdana" w:cs="Times New Roman"/>
        </w:rPr>
        <w:t>.</w:t>
      </w:r>
      <w:r w:rsidR="00AF5A64" w:rsidRPr="00EC14F2">
        <w:rPr>
          <w:rFonts w:ascii="Verdana" w:hAnsi="Verdana" w:cs="Times New Roman"/>
        </w:rPr>
        <w:t xml:space="preserve"> </w:t>
      </w:r>
    </w:p>
    <w:p w14:paraId="1E08B488" w14:textId="047E0839" w:rsidR="00692B63" w:rsidRPr="00EC14F2" w:rsidRDefault="000A6F53" w:rsidP="00EC14F2">
      <w:pPr>
        <w:rPr>
          <w:rFonts w:ascii="Verdana" w:hAnsi="Verdana" w:cs="Times New Roman"/>
        </w:rPr>
      </w:pPr>
      <w:r w:rsidRPr="00EC14F2">
        <w:rPr>
          <w:rFonts w:ascii="Verdana" w:hAnsi="Verdana" w:cs="Times New Roman"/>
        </w:rPr>
        <w:t>Participants signalled that reaching the tipping point</w:t>
      </w:r>
      <w:r w:rsidR="00DC069A" w:rsidRPr="00EC14F2">
        <w:rPr>
          <w:rFonts w:ascii="Verdana" w:hAnsi="Verdana" w:cs="Times New Roman"/>
        </w:rPr>
        <w:t xml:space="preserve"> </w:t>
      </w:r>
      <w:r w:rsidRPr="00EC14F2">
        <w:rPr>
          <w:rFonts w:ascii="Verdana" w:hAnsi="Verdana" w:cs="Times New Roman"/>
        </w:rPr>
        <w:t xml:space="preserve">requires </w:t>
      </w:r>
      <w:r w:rsidR="00DC069A" w:rsidRPr="00EC14F2">
        <w:rPr>
          <w:rFonts w:ascii="Verdana" w:hAnsi="Verdana" w:cs="Times New Roman"/>
        </w:rPr>
        <w:t>evidence</w:t>
      </w:r>
      <w:r w:rsidR="00673E13" w:rsidRPr="00EC14F2">
        <w:rPr>
          <w:rFonts w:ascii="Verdana" w:hAnsi="Verdana" w:cs="Times New Roman"/>
        </w:rPr>
        <w:t>-</w:t>
      </w:r>
      <w:r w:rsidR="00DC069A" w:rsidRPr="00EC14F2">
        <w:rPr>
          <w:rFonts w:ascii="Verdana" w:hAnsi="Verdana" w:cs="Times New Roman"/>
        </w:rPr>
        <w:t>based</w:t>
      </w:r>
      <w:r w:rsidR="00673E13" w:rsidRPr="00EC14F2">
        <w:rPr>
          <w:rFonts w:ascii="Verdana" w:hAnsi="Verdana" w:cs="Times New Roman"/>
        </w:rPr>
        <w:t xml:space="preserve">, </w:t>
      </w:r>
      <w:r w:rsidR="00DC069A" w:rsidRPr="00EC14F2">
        <w:rPr>
          <w:rFonts w:ascii="Verdana" w:hAnsi="Verdana" w:cs="Times New Roman"/>
        </w:rPr>
        <w:t>long</w:t>
      </w:r>
      <w:r w:rsidR="00673E13" w:rsidRPr="00EC14F2">
        <w:rPr>
          <w:rFonts w:ascii="Verdana" w:hAnsi="Verdana" w:cs="Times New Roman"/>
        </w:rPr>
        <w:t>-</w:t>
      </w:r>
      <w:r w:rsidR="00DC069A" w:rsidRPr="00EC14F2">
        <w:rPr>
          <w:rFonts w:ascii="Verdana" w:hAnsi="Verdana" w:cs="Times New Roman"/>
        </w:rPr>
        <w:t xml:space="preserve">term planning backed by </w:t>
      </w:r>
      <w:r w:rsidR="00AF5A64" w:rsidRPr="00EC14F2">
        <w:rPr>
          <w:rFonts w:ascii="Verdana" w:hAnsi="Verdana" w:cs="Times New Roman"/>
        </w:rPr>
        <w:t>ful</w:t>
      </w:r>
      <w:r w:rsidRPr="00EC14F2">
        <w:rPr>
          <w:rFonts w:ascii="Verdana" w:hAnsi="Verdana" w:cs="Times New Roman"/>
        </w:rPr>
        <w:t>l</w:t>
      </w:r>
      <w:r w:rsidR="00AF5A64" w:rsidRPr="00EC14F2">
        <w:rPr>
          <w:rFonts w:ascii="Verdana" w:hAnsi="Verdana" w:cs="Times New Roman"/>
        </w:rPr>
        <w:t xml:space="preserve"> </w:t>
      </w:r>
      <w:r w:rsidRPr="00EC14F2">
        <w:rPr>
          <w:rFonts w:ascii="Verdana" w:hAnsi="Verdana" w:cs="Times New Roman"/>
        </w:rPr>
        <w:t xml:space="preserve">commitment </w:t>
      </w:r>
      <w:r w:rsidR="00AF5A64" w:rsidRPr="00EC14F2">
        <w:rPr>
          <w:rFonts w:ascii="Verdana" w:hAnsi="Verdana" w:cs="Times New Roman"/>
        </w:rPr>
        <w:t>to deinstitutionalisation</w:t>
      </w:r>
      <w:r w:rsidR="00DC069A" w:rsidRPr="00EC14F2">
        <w:rPr>
          <w:rFonts w:ascii="Verdana" w:hAnsi="Verdana" w:cs="Times New Roman"/>
        </w:rPr>
        <w:t xml:space="preserve">, </w:t>
      </w:r>
      <w:r w:rsidR="00673E13" w:rsidRPr="00EC14F2">
        <w:rPr>
          <w:rFonts w:ascii="Verdana" w:hAnsi="Verdana" w:cs="Times New Roman"/>
        </w:rPr>
        <w:t>including</w:t>
      </w:r>
      <w:r w:rsidR="00DC069A" w:rsidRPr="00EC14F2">
        <w:rPr>
          <w:rFonts w:ascii="Verdana" w:hAnsi="Verdana" w:cs="Times New Roman"/>
        </w:rPr>
        <w:t xml:space="preserve"> in terms of financing</w:t>
      </w:r>
      <w:r w:rsidR="0025596D" w:rsidRPr="00EC14F2">
        <w:rPr>
          <w:rFonts w:ascii="Verdana" w:hAnsi="Verdana" w:cs="Times New Roman"/>
        </w:rPr>
        <w:t xml:space="preserve">. </w:t>
      </w:r>
      <w:r w:rsidR="00673E13" w:rsidRPr="00EC14F2">
        <w:rPr>
          <w:rFonts w:ascii="Verdana" w:hAnsi="Verdana" w:cs="Times New Roman"/>
        </w:rPr>
        <w:t>It also means proactively building on initial successes.</w:t>
      </w:r>
    </w:p>
    <w:p w14:paraId="784B3009" w14:textId="77777777" w:rsidR="003A73E0" w:rsidRPr="00EC14F2" w:rsidRDefault="003A73E0" w:rsidP="00EC14F2">
      <w:pPr>
        <w:pStyle w:val="Heading1"/>
        <w:rPr>
          <w:rFonts w:ascii="Verdana" w:hAnsi="Verdana"/>
        </w:rPr>
      </w:pPr>
      <w:r w:rsidRPr="00EC14F2">
        <w:rPr>
          <w:rFonts w:ascii="Verdana" w:hAnsi="Verdana"/>
        </w:rPr>
        <w:t>The hump</w:t>
      </w:r>
    </w:p>
    <w:p w14:paraId="7D0933F1" w14:textId="720E3684" w:rsidR="00672B12" w:rsidRPr="00EC14F2" w:rsidRDefault="00672B12" w:rsidP="00EC14F2">
      <w:pPr>
        <w:rPr>
          <w:rFonts w:ascii="Verdana" w:hAnsi="Verdana" w:cs="Times New Roman"/>
        </w:rPr>
      </w:pPr>
      <w:r w:rsidRPr="00EC14F2">
        <w:rPr>
          <w:rFonts w:ascii="Verdana" w:hAnsi="Verdana" w:cs="Times New Roman"/>
        </w:rPr>
        <w:t xml:space="preserve">After the tipping point, the momentum generated can allow deinstitutionalisation </w:t>
      </w:r>
      <w:r w:rsidR="00673E13" w:rsidRPr="00EC14F2">
        <w:rPr>
          <w:rFonts w:ascii="Verdana" w:hAnsi="Verdana" w:cs="Times New Roman"/>
        </w:rPr>
        <w:t xml:space="preserve">efforts </w:t>
      </w:r>
      <w:r w:rsidRPr="00EC14F2">
        <w:rPr>
          <w:rFonts w:ascii="Verdana" w:hAnsi="Verdana" w:cs="Times New Roman"/>
        </w:rPr>
        <w:t xml:space="preserve">to move quite quickly. Participants noted, however, that </w:t>
      </w:r>
      <w:r w:rsidR="00CB4EFD" w:rsidRPr="00EC14F2">
        <w:rPr>
          <w:rFonts w:ascii="Verdana" w:hAnsi="Verdana" w:cs="Times New Roman"/>
        </w:rPr>
        <w:t xml:space="preserve">final stage of </w:t>
      </w:r>
      <w:r w:rsidRPr="00EC14F2">
        <w:rPr>
          <w:rFonts w:ascii="Verdana" w:hAnsi="Verdana" w:cs="Times New Roman"/>
        </w:rPr>
        <w:t>closing</w:t>
      </w:r>
      <w:r w:rsidR="00CB4EFD" w:rsidRPr="00EC14F2">
        <w:rPr>
          <w:rFonts w:ascii="Verdana" w:hAnsi="Verdana" w:cs="Times New Roman"/>
        </w:rPr>
        <w:t xml:space="preserve"> an institution</w:t>
      </w:r>
      <w:r w:rsidRPr="00EC14F2">
        <w:rPr>
          <w:rFonts w:ascii="Verdana" w:hAnsi="Verdana" w:cs="Times New Roman"/>
        </w:rPr>
        <w:t xml:space="preserve"> can be particularly difficult, creating a hump in the deinstitutionalisation process</w:t>
      </w:r>
      <w:r w:rsidR="00CB4EFD" w:rsidRPr="00EC14F2">
        <w:rPr>
          <w:rFonts w:ascii="Verdana" w:hAnsi="Verdana" w:cs="Times New Roman"/>
        </w:rPr>
        <w:t xml:space="preserve">. </w:t>
      </w:r>
      <w:r w:rsidRPr="00EC14F2">
        <w:rPr>
          <w:rFonts w:ascii="Verdana" w:hAnsi="Verdana" w:cs="Times New Roman"/>
        </w:rPr>
        <w:t>They highlighted several challenges:</w:t>
      </w:r>
    </w:p>
    <w:p w14:paraId="4271FA65" w14:textId="05C05ABB" w:rsidR="00EA052D" w:rsidRPr="00EC14F2" w:rsidRDefault="00EA052D" w:rsidP="00EC14F2">
      <w:pPr>
        <w:pStyle w:val="ListParagraph"/>
        <w:numPr>
          <w:ilvl w:val="0"/>
          <w:numId w:val="8"/>
        </w:numPr>
        <w:rPr>
          <w:rFonts w:ascii="Verdana" w:hAnsi="Verdana" w:cs="Times New Roman"/>
        </w:rPr>
      </w:pPr>
      <w:r w:rsidRPr="00EC14F2">
        <w:rPr>
          <w:rFonts w:ascii="Verdana" w:hAnsi="Verdana" w:cs="Times New Roman"/>
        </w:rPr>
        <w:t>Lack of community-based services responsive to the needs of people with severe impairments or complex needs. This means both they are often the last to leave the institution, and that their move into the community is delayed.</w:t>
      </w:r>
    </w:p>
    <w:p w14:paraId="3A96931F" w14:textId="6C62D659" w:rsidR="00EA052D" w:rsidRPr="00EC14F2" w:rsidRDefault="001A29A0" w:rsidP="00EC14F2">
      <w:pPr>
        <w:pStyle w:val="ListParagraph"/>
        <w:numPr>
          <w:ilvl w:val="0"/>
          <w:numId w:val="8"/>
        </w:numPr>
        <w:rPr>
          <w:rFonts w:ascii="Verdana" w:hAnsi="Verdana" w:cs="Times New Roman"/>
        </w:rPr>
      </w:pPr>
      <w:r w:rsidRPr="00EC14F2">
        <w:rPr>
          <w:rFonts w:ascii="Verdana" w:hAnsi="Verdana" w:cs="Times New Roman"/>
        </w:rPr>
        <w:t xml:space="preserve">The costs of </w:t>
      </w:r>
      <w:r w:rsidR="006762D2" w:rsidRPr="00EC14F2">
        <w:rPr>
          <w:rFonts w:ascii="Verdana" w:hAnsi="Verdana" w:cs="Times New Roman"/>
        </w:rPr>
        <w:t>‘</w:t>
      </w:r>
      <w:r w:rsidRPr="00EC14F2">
        <w:rPr>
          <w:rFonts w:ascii="Verdana" w:hAnsi="Verdana" w:cs="Times New Roman"/>
        </w:rPr>
        <w:t>d</w:t>
      </w:r>
      <w:r w:rsidR="006762D2" w:rsidRPr="00EC14F2">
        <w:rPr>
          <w:rFonts w:ascii="Verdana" w:hAnsi="Verdana" w:cs="Times New Roman"/>
        </w:rPr>
        <w:t xml:space="preserve">ouble </w:t>
      </w:r>
      <w:r w:rsidR="00DE048A" w:rsidRPr="00EC14F2">
        <w:rPr>
          <w:rFonts w:ascii="Verdana" w:hAnsi="Verdana" w:cs="Times New Roman"/>
        </w:rPr>
        <w:t xml:space="preserve">funding’ </w:t>
      </w:r>
      <w:r w:rsidR="004B6328" w:rsidRPr="00EC14F2">
        <w:rPr>
          <w:rFonts w:ascii="Verdana" w:hAnsi="Verdana" w:cs="Times New Roman"/>
        </w:rPr>
        <w:t xml:space="preserve">as </w:t>
      </w:r>
      <w:r w:rsidRPr="00EC14F2">
        <w:rPr>
          <w:rFonts w:ascii="Verdana" w:hAnsi="Verdana" w:cs="Times New Roman"/>
        </w:rPr>
        <w:t xml:space="preserve">both the </w:t>
      </w:r>
      <w:r w:rsidR="004B6328" w:rsidRPr="00EC14F2">
        <w:rPr>
          <w:rFonts w:ascii="Verdana" w:hAnsi="Verdana" w:cs="Times New Roman"/>
        </w:rPr>
        <w:t xml:space="preserve">remaining </w:t>
      </w:r>
      <w:r w:rsidRPr="00EC14F2">
        <w:rPr>
          <w:rFonts w:ascii="Verdana" w:hAnsi="Verdana" w:cs="Times New Roman"/>
        </w:rPr>
        <w:t>institution</w:t>
      </w:r>
      <w:r w:rsidR="004B6328" w:rsidRPr="00EC14F2">
        <w:rPr>
          <w:rFonts w:ascii="Verdana" w:hAnsi="Verdana" w:cs="Times New Roman"/>
        </w:rPr>
        <w:t>al</w:t>
      </w:r>
      <w:r w:rsidRPr="00EC14F2">
        <w:rPr>
          <w:rFonts w:ascii="Verdana" w:hAnsi="Verdana" w:cs="Times New Roman"/>
        </w:rPr>
        <w:t xml:space="preserve"> and the </w:t>
      </w:r>
      <w:r w:rsidR="004B6328" w:rsidRPr="00EC14F2">
        <w:rPr>
          <w:rFonts w:ascii="Verdana" w:hAnsi="Verdana" w:cs="Times New Roman"/>
        </w:rPr>
        <w:t>developing</w:t>
      </w:r>
      <w:r w:rsidRPr="00EC14F2">
        <w:rPr>
          <w:rFonts w:ascii="Verdana" w:hAnsi="Verdana" w:cs="Times New Roman"/>
        </w:rPr>
        <w:t xml:space="preserve"> community-ba</w:t>
      </w:r>
      <w:r w:rsidR="004B6328" w:rsidRPr="00EC14F2">
        <w:rPr>
          <w:rFonts w:ascii="Verdana" w:hAnsi="Verdana" w:cs="Times New Roman"/>
        </w:rPr>
        <w:t>sed services run simultaneously.</w:t>
      </w:r>
    </w:p>
    <w:p w14:paraId="40CEF55A" w14:textId="7C7C9881" w:rsidR="001A29A0" w:rsidRPr="00EC14F2" w:rsidRDefault="001A29A0" w:rsidP="00EC14F2">
      <w:pPr>
        <w:pStyle w:val="ListParagraph"/>
        <w:numPr>
          <w:ilvl w:val="0"/>
          <w:numId w:val="8"/>
        </w:numPr>
        <w:spacing w:after="0"/>
        <w:rPr>
          <w:rFonts w:ascii="Verdana" w:hAnsi="Verdana" w:cs="Times New Roman"/>
        </w:rPr>
      </w:pPr>
      <w:r w:rsidRPr="00EC14F2">
        <w:rPr>
          <w:rFonts w:ascii="Verdana" w:hAnsi="Verdana" w:cs="Times New Roman"/>
        </w:rPr>
        <w:lastRenderedPageBreak/>
        <w:t>Resistance among some staff</w:t>
      </w:r>
      <w:r w:rsidR="00EA052D" w:rsidRPr="00EC14F2">
        <w:rPr>
          <w:rFonts w:ascii="Verdana" w:hAnsi="Verdana" w:cs="Times New Roman"/>
        </w:rPr>
        <w:t xml:space="preserve">, family members and persons with disabilities </w:t>
      </w:r>
      <w:r w:rsidRPr="00EC14F2">
        <w:rPr>
          <w:rFonts w:ascii="Verdana" w:hAnsi="Verdana" w:cs="Times New Roman"/>
        </w:rPr>
        <w:t xml:space="preserve">to </w:t>
      </w:r>
      <w:r w:rsidR="00EA052D" w:rsidRPr="00EC14F2">
        <w:rPr>
          <w:rFonts w:ascii="Verdana" w:hAnsi="Verdana" w:cs="Times New Roman"/>
        </w:rPr>
        <w:t>leaving the institution</w:t>
      </w:r>
      <w:r w:rsidR="00DE048A" w:rsidRPr="00EC14F2">
        <w:rPr>
          <w:rFonts w:ascii="Verdana" w:hAnsi="Verdana" w:cs="Times New Roman"/>
        </w:rPr>
        <w:t>, particularly when they have lived or worked there for long periods</w:t>
      </w:r>
      <w:r w:rsidR="006762D2" w:rsidRPr="00EC14F2">
        <w:rPr>
          <w:rFonts w:ascii="Verdana" w:hAnsi="Verdana" w:cs="Times New Roman"/>
        </w:rPr>
        <w:t>.</w:t>
      </w:r>
      <w:r w:rsidR="006762D2" w:rsidRPr="00EC14F2">
        <w:rPr>
          <w:rFonts w:ascii="Verdana" w:hAnsi="Verdana" w:cs="Times New Roman"/>
          <w:i/>
        </w:rPr>
        <w:t xml:space="preserve"> </w:t>
      </w:r>
    </w:p>
    <w:p w14:paraId="6B44AC68" w14:textId="77777777" w:rsidR="00DE048A" w:rsidRPr="00EC14F2" w:rsidRDefault="00DE048A" w:rsidP="00EC14F2">
      <w:pPr>
        <w:pStyle w:val="ListParagraph"/>
        <w:spacing w:before="240"/>
        <w:rPr>
          <w:rFonts w:ascii="Verdana" w:hAnsi="Verdana" w:cs="Times New Roman"/>
          <w:i/>
        </w:rPr>
      </w:pPr>
    </w:p>
    <w:p w14:paraId="40EBF0CB" w14:textId="47076E1A" w:rsidR="006762D2" w:rsidRPr="00EC14F2" w:rsidRDefault="006762D2" w:rsidP="00EC14F2">
      <w:pPr>
        <w:pStyle w:val="ListParagraph"/>
        <w:spacing w:before="240"/>
        <w:rPr>
          <w:rFonts w:ascii="Verdana" w:hAnsi="Verdana" w:cs="Times New Roman"/>
        </w:rPr>
      </w:pPr>
      <w:r w:rsidRPr="00EC14F2">
        <w:rPr>
          <w:rFonts w:ascii="Verdana" w:hAnsi="Verdana" w:cs="Times New Roman"/>
          <w:i/>
        </w:rPr>
        <w:t>“And that’s why, I think, we’re coming to the end now because we’ve a cohort of staff here who won’t want to move.  We’ve a cohort of service users who won’t want to move and sometimes you’ll have the staff getting to the families and so you have to unpick all of that.”</w:t>
      </w:r>
      <w:r w:rsidRPr="00EC14F2">
        <w:rPr>
          <w:rFonts w:ascii="Verdana" w:hAnsi="Verdana" w:cs="Times New Roman"/>
        </w:rPr>
        <w:t xml:space="preserve"> (</w:t>
      </w:r>
      <w:r w:rsidR="00EA052D" w:rsidRPr="00EC14F2">
        <w:rPr>
          <w:rFonts w:ascii="Verdana" w:hAnsi="Verdana" w:cs="Times New Roman"/>
        </w:rPr>
        <w:t>Ireland, s</w:t>
      </w:r>
      <w:r w:rsidRPr="00EC14F2">
        <w:rPr>
          <w:rFonts w:ascii="Verdana" w:hAnsi="Verdana" w:cs="Times New Roman"/>
        </w:rPr>
        <w:t>ervice provider)</w:t>
      </w:r>
    </w:p>
    <w:p w14:paraId="26F24BC4" w14:textId="66CA1AEC" w:rsidR="003D57CA" w:rsidRPr="00EC14F2" w:rsidRDefault="003D57CA" w:rsidP="00EC14F2">
      <w:pPr>
        <w:pStyle w:val="Heading2"/>
        <w:rPr>
          <w:rFonts w:ascii="Verdana" w:hAnsi="Verdana"/>
        </w:rPr>
      </w:pPr>
      <w:r w:rsidRPr="00EC14F2">
        <w:rPr>
          <w:rFonts w:ascii="Verdana" w:hAnsi="Verdana"/>
        </w:rPr>
        <w:t>Policy implications</w:t>
      </w:r>
    </w:p>
    <w:p w14:paraId="3DEAD7D0" w14:textId="1B871224" w:rsidR="004475D4" w:rsidRPr="00EC14F2" w:rsidRDefault="004B6328" w:rsidP="00EC14F2">
      <w:pPr>
        <w:rPr>
          <w:rFonts w:ascii="Verdana" w:hAnsi="Verdana" w:cs="Times New Roman"/>
        </w:rPr>
      </w:pPr>
      <w:r w:rsidRPr="00EC14F2">
        <w:rPr>
          <w:rFonts w:ascii="Verdana" w:hAnsi="Verdana" w:cs="Times New Roman"/>
        </w:rPr>
        <w:t>The Office of the UN High Commissioner for Human Rights has indicated that ‘double funding’ is necessary during the deinstitutionalisation process.</w:t>
      </w:r>
      <w:r w:rsidRPr="00EC14F2">
        <w:rPr>
          <w:rStyle w:val="FootnoteReference"/>
          <w:rFonts w:ascii="Verdana" w:hAnsi="Verdana" w:cs="Times New Roman"/>
        </w:rPr>
        <w:footnoteReference w:id="2"/>
      </w:r>
      <w:r w:rsidRPr="00EC14F2">
        <w:rPr>
          <w:rFonts w:ascii="Verdana" w:hAnsi="Verdana" w:cs="Times New Roman"/>
        </w:rPr>
        <w:t xml:space="preserve"> Participants highlighted that this requires the allocation of sufficient funds in national budgets</w:t>
      </w:r>
      <w:r w:rsidR="005C34C8" w:rsidRPr="00EC14F2">
        <w:rPr>
          <w:rFonts w:ascii="Verdana" w:hAnsi="Verdana" w:cs="Times New Roman"/>
        </w:rPr>
        <w:t xml:space="preserve">. </w:t>
      </w:r>
      <w:r w:rsidR="004475D4" w:rsidRPr="00EC14F2">
        <w:rPr>
          <w:rFonts w:ascii="Verdana" w:hAnsi="Verdana" w:cs="Times New Roman"/>
        </w:rPr>
        <w:t xml:space="preserve">However, </w:t>
      </w:r>
      <w:r w:rsidRPr="00EC14F2">
        <w:rPr>
          <w:rFonts w:ascii="Verdana" w:hAnsi="Verdana" w:cs="Times New Roman"/>
        </w:rPr>
        <w:t>they also emphasised</w:t>
      </w:r>
      <w:r w:rsidR="004475D4" w:rsidRPr="00EC14F2">
        <w:rPr>
          <w:rFonts w:ascii="Verdana" w:hAnsi="Verdana" w:cs="Times New Roman"/>
        </w:rPr>
        <w:t xml:space="preserve"> that maintaining parallel systems should be a short term solution, and that </w:t>
      </w:r>
      <w:r w:rsidRPr="00EC14F2">
        <w:rPr>
          <w:rFonts w:ascii="Verdana" w:hAnsi="Verdana" w:cs="Times New Roman"/>
        </w:rPr>
        <w:t>efforts should focus on developing</w:t>
      </w:r>
      <w:r w:rsidR="00242074" w:rsidRPr="00EC14F2">
        <w:rPr>
          <w:rFonts w:ascii="Verdana" w:hAnsi="Verdana" w:cs="Times New Roman"/>
        </w:rPr>
        <w:t xml:space="preserve"> </w:t>
      </w:r>
      <w:r w:rsidR="004475D4" w:rsidRPr="00EC14F2">
        <w:rPr>
          <w:rFonts w:ascii="Verdana" w:hAnsi="Verdana" w:cs="Times New Roman"/>
        </w:rPr>
        <w:t>community-based services</w:t>
      </w:r>
      <w:r w:rsidR="00242074" w:rsidRPr="00EC14F2">
        <w:rPr>
          <w:rFonts w:ascii="Verdana" w:hAnsi="Verdana" w:cs="Times New Roman"/>
        </w:rPr>
        <w:t xml:space="preserve"> </w:t>
      </w:r>
      <w:r w:rsidRPr="00EC14F2">
        <w:rPr>
          <w:rFonts w:ascii="Verdana" w:hAnsi="Verdana" w:cs="Times New Roman"/>
        </w:rPr>
        <w:t>that are responsive to the needs of all persons with disabilities</w:t>
      </w:r>
      <w:r w:rsidR="004475D4" w:rsidRPr="00EC14F2">
        <w:rPr>
          <w:rFonts w:ascii="Verdana" w:hAnsi="Verdana" w:cs="Times New Roman"/>
        </w:rPr>
        <w:t xml:space="preserve">. </w:t>
      </w:r>
    </w:p>
    <w:p w14:paraId="370621AC" w14:textId="3627C450" w:rsidR="005C34C8" w:rsidRPr="00EC14F2" w:rsidRDefault="005C34C8" w:rsidP="00EC14F2">
      <w:pPr>
        <w:rPr>
          <w:rFonts w:ascii="Verdana" w:hAnsi="Verdana" w:cs="Times New Roman"/>
        </w:rPr>
      </w:pPr>
      <w:r w:rsidRPr="00EC14F2">
        <w:rPr>
          <w:rFonts w:ascii="Verdana" w:hAnsi="Verdana" w:cs="Times New Roman"/>
        </w:rPr>
        <w:lastRenderedPageBreak/>
        <w:t xml:space="preserve">Overcoming the ‘hump’ also involves </w:t>
      </w:r>
      <w:r w:rsidR="004B6328" w:rsidRPr="00EC14F2">
        <w:rPr>
          <w:rFonts w:ascii="Verdana" w:hAnsi="Verdana" w:cs="Times New Roman"/>
        </w:rPr>
        <w:t xml:space="preserve">changing the attitudes </w:t>
      </w:r>
      <w:r w:rsidRPr="00EC14F2">
        <w:rPr>
          <w:rFonts w:ascii="Verdana" w:hAnsi="Verdana" w:cs="Times New Roman"/>
        </w:rPr>
        <w:t xml:space="preserve">of those who remain opposed to deinstitutionalisation.  For staff, this often </w:t>
      </w:r>
      <w:r w:rsidR="00C26701" w:rsidRPr="00EC14F2">
        <w:rPr>
          <w:rFonts w:ascii="Verdana" w:hAnsi="Verdana" w:cs="Times New Roman"/>
        </w:rPr>
        <w:t xml:space="preserve">requires </w:t>
      </w:r>
      <w:r w:rsidRPr="00EC14F2">
        <w:rPr>
          <w:rFonts w:ascii="Verdana" w:hAnsi="Verdana" w:cs="Times New Roman"/>
        </w:rPr>
        <w:t>addressing fears with regard to job security and working condition</w:t>
      </w:r>
      <w:r w:rsidR="004B6328" w:rsidRPr="00EC14F2">
        <w:rPr>
          <w:rFonts w:ascii="Verdana" w:hAnsi="Verdana" w:cs="Times New Roman"/>
        </w:rPr>
        <w:t>s</w:t>
      </w:r>
      <w:r w:rsidRPr="00EC14F2">
        <w:rPr>
          <w:rFonts w:ascii="Verdana" w:hAnsi="Verdana" w:cs="Times New Roman"/>
        </w:rPr>
        <w:t xml:space="preserve">. </w:t>
      </w:r>
      <w:r w:rsidR="004B6328" w:rsidRPr="00EC14F2">
        <w:rPr>
          <w:rFonts w:ascii="Verdana" w:hAnsi="Verdana" w:cs="Times New Roman"/>
        </w:rPr>
        <w:t>Given</w:t>
      </w:r>
      <w:r w:rsidR="00C26701" w:rsidRPr="00EC14F2">
        <w:rPr>
          <w:rFonts w:ascii="Verdana" w:hAnsi="Verdana" w:cs="Times New Roman"/>
        </w:rPr>
        <w:t xml:space="preserve"> that the last residents of an institution are frequently older people and those with more severe impairments, it also means recognising that independent living is a right for all, irrespective of age and degree or type of impairment.</w:t>
      </w:r>
    </w:p>
    <w:p w14:paraId="19CF3647" w14:textId="602FA4E7" w:rsidR="005C34C8" w:rsidRPr="00EC14F2" w:rsidRDefault="00242074" w:rsidP="00EC14F2">
      <w:pPr>
        <w:pStyle w:val="Heading1"/>
        <w:rPr>
          <w:rFonts w:ascii="Verdana" w:hAnsi="Verdana"/>
        </w:rPr>
      </w:pPr>
      <w:r w:rsidRPr="00EC14F2">
        <w:rPr>
          <w:rFonts w:ascii="Verdana" w:hAnsi="Verdana"/>
        </w:rPr>
        <w:t>The second</w:t>
      </w:r>
      <w:r w:rsidR="00BE73D1" w:rsidRPr="00EC14F2">
        <w:rPr>
          <w:rFonts w:ascii="Verdana" w:hAnsi="Verdana"/>
        </w:rPr>
        <w:t xml:space="preserve"> wave</w:t>
      </w:r>
    </w:p>
    <w:p w14:paraId="7736C070" w14:textId="39CDBC97" w:rsidR="00C26701" w:rsidRPr="00EC14F2" w:rsidRDefault="005C34C8" w:rsidP="00EC14F2">
      <w:pPr>
        <w:rPr>
          <w:rFonts w:ascii="Verdana" w:hAnsi="Verdana" w:cs="Times New Roman"/>
        </w:rPr>
      </w:pPr>
      <w:r w:rsidRPr="00EC14F2">
        <w:rPr>
          <w:rFonts w:ascii="Verdana" w:hAnsi="Verdana" w:cs="Times New Roman"/>
        </w:rPr>
        <w:t xml:space="preserve">Some participants </w:t>
      </w:r>
      <w:r w:rsidR="00C26701" w:rsidRPr="00EC14F2">
        <w:rPr>
          <w:rFonts w:ascii="Verdana" w:hAnsi="Verdana" w:cs="Times New Roman"/>
        </w:rPr>
        <w:t>spoke about</w:t>
      </w:r>
      <w:r w:rsidRPr="00EC14F2">
        <w:rPr>
          <w:rFonts w:ascii="Verdana" w:hAnsi="Verdana" w:cs="Times New Roman"/>
        </w:rPr>
        <w:t xml:space="preserve"> a second wave of deinstitutionalisation</w:t>
      </w:r>
      <w:r w:rsidR="00C26701" w:rsidRPr="00EC14F2">
        <w:rPr>
          <w:rFonts w:ascii="Verdana" w:hAnsi="Verdana" w:cs="Times New Roman"/>
        </w:rPr>
        <w:t xml:space="preserve">, in which persons with disabilities gain greater choice and control over their living arrangements and support services than when they first left the institution. This can happen for two main reasons: </w:t>
      </w:r>
      <w:r w:rsidRPr="00EC14F2">
        <w:rPr>
          <w:rFonts w:ascii="Verdana" w:hAnsi="Verdana" w:cs="Times New Roman"/>
        </w:rPr>
        <w:t xml:space="preserve"> </w:t>
      </w:r>
    </w:p>
    <w:p w14:paraId="37D84384" w14:textId="27CFA015" w:rsidR="00BA3002" w:rsidRPr="00EC14F2" w:rsidRDefault="00BA3002" w:rsidP="00EC14F2">
      <w:pPr>
        <w:pStyle w:val="ListParagraph"/>
        <w:numPr>
          <w:ilvl w:val="0"/>
          <w:numId w:val="9"/>
        </w:numPr>
        <w:rPr>
          <w:rFonts w:ascii="Verdana" w:hAnsi="Verdana" w:cs="Times New Roman"/>
        </w:rPr>
      </w:pPr>
      <w:r w:rsidRPr="00EC14F2">
        <w:rPr>
          <w:rFonts w:ascii="Verdana" w:hAnsi="Verdana" w:cs="Times New Roman"/>
        </w:rPr>
        <w:t>P</w:t>
      </w:r>
      <w:r w:rsidR="005C34C8" w:rsidRPr="00EC14F2">
        <w:rPr>
          <w:rFonts w:ascii="Verdana" w:hAnsi="Verdana" w:cs="Times New Roman"/>
        </w:rPr>
        <w:t xml:space="preserve">eople with disabilities </w:t>
      </w:r>
      <w:r w:rsidR="00C26701" w:rsidRPr="00EC14F2">
        <w:rPr>
          <w:rFonts w:ascii="Verdana" w:hAnsi="Verdana" w:cs="Times New Roman"/>
        </w:rPr>
        <w:t xml:space="preserve">first move to settings with </w:t>
      </w:r>
      <w:r w:rsidR="005C34C8" w:rsidRPr="00EC14F2">
        <w:rPr>
          <w:rFonts w:ascii="Verdana" w:hAnsi="Verdana" w:cs="Times New Roman"/>
        </w:rPr>
        <w:t>additional support after leaving the institution</w:t>
      </w:r>
      <w:r w:rsidRPr="00EC14F2">
        <w:rPr>
          <w:rFonts w:ascii="Verdana" w:hAnsi="Verdana" w:cs="Times New Roman"/>
        </w:rPr>
        <w:t xml:space="preserve"> in order to build up </w:t>
      </w:r>
      <w:r w:rsidR="0003769F" w:rsidRPr="00EC14F2">
        <w:rPr>
          <w:rFonts w:ascii="Verdana" w:hAnsi="Verdana" w:cs="Times New Roman"/>
        </w:rPr>
        <w:t xml:space="preserve">everyday </w:t>
      </w:r>
      <w:r w:rsidRPr="00EC14F2">
        <w:rPr>
          <w:rFonts w:ascii="Verdana" w:hAnsi="Verdana" w:cs="Times New Roman"/>
        </w:rPr>
        <w:t>living skills. The FRA research highlighted instances where residents who were initially fearful of deinstitutionalisation gained confidence and independence on moving to a group home. They then pushed for personalised support and housing to enable them to live more independent</w:t>
      </w:r>
      <w:r w:rsidR="00486098" w:rsidRPr="00EC14F2">
        <w:rPr>
          <w:rFonts w:ascii="Verdana" w:hAnsi="Verdana" w:cs="Times New Roman"/>
        </w:rPr>
        <w:t>ly</w:t>
      </w:r>
      <w:r w:rsidRPr="00EC14F2">
        <w:rPr>
          <w:rFonts w:ascii="Verdana" w:hAnsi="Verdana" w:cs="Times New Roman"/>
        </w:rPr>
        <w:t>.</w:t>
      </w:r>
    </w:p>
    <w:p w14:paraId="128FF574" w14:textId="6D836928" w:rsidR="006827BF" w:rsidRPr="00EC14F2" w:rsidRDefault="00BA3002" w:rsidP="00EC14F2">
      <w:pPr>
        <w:pStyle w:val="ListParagraph"/>
        <w:numPr>
          <w:ilvl w:val="0"/>
          <w:numId w:val="9"/>
        </w:numPr>
        <w:rPr>
          <w:rFonts w:ascii="Verdana" w:hAnsi="Verdana" w:cs="Times New Roman"/>
        </w:rPr>
      </w:pPr>
      <w:r w:rsidRPr="00EC14F2">
        <w:rPr>
          <w:rFonts w:ascii="Verdana" w:hAnsi="Verdana" w:cs="Times New Roman"/>
        </w:rPr>
        <w:t>T</w:t>
      </w:r>
      <w:r w:rsidR="005C34C8" w:rsidRPr="00EC14F2">
        <w:rPr>
          <w:rFonts w:ascii="Verdana" w:hAnsi="Verdana" w:cs="Times New Roman"/>
        </w:rPr>
        <w:t xml:space="preserve">he </w:t>
      </w:r>
      <w:r w:rsidRPr="00EC14F2">
        <w:rPr>
          <w:rFonts w:ascii="Verdana" w:hAnsi="Verdana" w:cs="Times New Roman"/>
        </w:rPr>
        <w:t>community-</w:t>
      </w:r>
      <w:r w:rsidR="005C34C8" w:rsidRPr="00EC14F2">
        <w:rPr>
          <w:rFonts w:ascii="Verdana" w:hAnsi="Verdana" w:cs="Times New Roman"/>
        </w:rPr>
        <w:t xml:space="preserve">based services </w:t>
      </w:r>
      <w:r w:rsidRPr="00EC14F2">
        <w:rPr>
          <w:rFonts w:ascii="Verdana" w:hAnsi="Verdana" w:cs="Times New Roman"/>
        </w:rPr>
        <w:t xml:space="preserve">initially </w:t>
      </w:r>
      <w:r w:rsidR="005C34C8" w:rsidRPr="00EC14F2">
        <w:rPr>
          <w:rFonts w:ascii="Verdana" w:hAnsi="Verdana" w:cs="Times New Roman"/>
        </w:rPr>
        <w:t xml:space="preserve">established </w:t>
      </w:r>
      <w:r w:rsidRPr="00EC14F2">
        <w:rPr>
          <w:rFonts w:ascii="Verdana" w:hAnsi="Verdana" w:cs="Times New Roman"/>
        </w:rPr>
        <w:t>for people leaving institutions retain many characteristics of institutions.</w:t>
      </w:r>
      <w:r w:rsidR="005C34C8" w:rsidRPr="00EC14F2">
        <w:rPr>
          <w:rFonts w:ascii="Verdana" w:hAnsi="Verdana" w:cs="Times New Roman"/>
        </w:rPr>
        <w:t xml:space="preserve"> </w:t>
      </w:r>
      <w:r w:rsidRPr="00EC14F2">
        <w:rPr>
          <w:rFonts w:ascii="Verdana" w:hAnsi="Verdana" w:cs="Times New Roman"/>
        </w:rPr>
        <w:t xml:space="preserve">A transition to </w:t>
      </w:r>
      <w:r w:rsidR="005C34C8" w:rsidRPr="00EC14F2">
        <w:rPr>
          <w:rFonts w:ascii="Verdana" w:hAnsi="Verdana" w:cs="Times New Roman"/>
        </w:rPr>
        <w:t xml:space="preserve">more </w:t>
      </w:r>
      <w:r w:rsidRPr="00EC14F2">
        <w:rPr>
          <w:rFonts w:ascii="Verdana" w:hAnsi="Verdana" w:cs="Times New Roman"/>
        </w:rPr>
        <w:t xml:space="preserve">personalised </w:t>
      </w:r>
      <w:r w:rsidR="005C34C8" w:rsidRPr="00EC14F2">
        <w:rPr>
          <w:rFonts w:ascii="Verdana" w:hAnsi="Verdana" w:cs="Times New Roman"/>
        </w:rPr>
        <w:t xml:space="preserve">services </w:t>
      </w:r>
      <w:r w:rsidRPr="00EC14F2">
        <w:rPr>
          <w:rFonts w:ascii="Verdana" w:hAnsi="Verdana" w:cs="Times New Roman"/>
        </w:rPr>
        <w:t xml:space="preserve">is therefore </w:t>
      </w:r>
      <w:r w:rsidR="005C34C8" w:rsidRPr="00EC14F2">
        <w:rPr>
          <w:rFonts w:ascii="Verdana" w:hAnsi="Verdana" w:cs="Times New Roman"/>
        </w:rPr>
        <w:lastRenderedPageBreak/>
        <w:t xml:space="preserve">needed to </w:t>
      </w:r>
      <w:r w:rsidRPr="00EC14F2">
        <w:rPr>
          <w:rFonts w:ascii="Verdana" w:hAnsi="Verdana" w:cs="Times New Roman"/>
        </w:rPr>
        <w:t xml:space="preserve">realise </w:t>
      </w:r>
      <w:r w:rsidR="005C34C8" w:rsidRPr="00EC14F2">
        <w:rPr>
          <w:rFonts w:ascii="Verdana" w:hAnsi="Verdana" w:cs="Times New Roman"/>
        </w:rPr>
        <w:t xml:space="preserve">independent living. </w:t>
      </w:r>
      <w:r w:rsidR="006827BF" w:rsidRPr="00EC14F2">
        <w:rPr>
          <w:rFonts w:ascii="Verdana" w:hAnsi="Verdana" w:cs="Times New Roman"/>
        </w:rPr>
        <w:t>In Finland</w:t>
      </w:r>
      <w:r w:rsidR="002F007F" w:rsidRPr="00EC14F2">
        <w:rPr>
          <w:rFonts w:ascii="Verdana" w:hAnsi="Verdana" w:cs="Times New Roman"/>
        </w:rPr>
        <w:t>,</w:t>
      </w:r>
      <w:r w:rsidR="006827BF" w:rsidRPr="00EC14F2">
        <w:rPr>
          <w:rFonts w:ascii="Verdana" w:hAnsi="Verdana" w:cs="Times New Roman"/>
        </w:rPr>
        <w:t xml:space="preserve"> for example, </w:t>
      </w:r>
      <w:r w:rsidR="00486098" w:rsidRPr="00EC14F2">
        <w:rPr>
          <w:rFonts w:ascii="Verdana" w:hAnsi="Verdana" w:cs="Times New Roman"/>
        </w:rPr>
        <w:t>many people with disabilities moved from institutions to group homes with 15 or more residents, much larger than a typical house</w:t>
      </w:r>
      <w:r w:rsidR="006827BF" w:rsidRPr="00EC14F2">
        <w:rPr>
          <w:rFonts w:ascii="Verdana" w:hAnsi="Verdana" w:cs="Times New Roman"/>
        </w:rPr>
        <w:t xml:space="preserve">. In Ireland, </w:t>
      </w:r>
      <w:r w:rsidR="00FD6F7C" w:rsidRPr="00EC14F2">
        <w:rPr>
          <w:rFonts w:ascii="Verdana" w:hAnsi="Verdana" w:cs="Times New Roman"/>
        </w:rPr>
        <w:t xml:space="preserve">group homes </w:t>
      </w:r>
      <w:r w:rsidRPr="00EC14F2">
        <w:rPr>
          <w:rFonts w:ascii="Verdana" w:hAnsi="Verdana" w:cs="Times New Roman"/>
        </w:rPr>
        <w:t>have reduced in size from</w:t>
      </w:r>
      <w:r w:rsidR="006827BF" w:rsidRPr="00EC14F2">
        <w:rPr>
          <w:rFonts w:ascii="Verdana" w:hAnsi="Verdana" w:cs="Times New Roman"/>
        </w:rPr>
        <w:t xml:space="preserve"> </w:t>
      </w:r>
      <w:r w:rsidRPr="00EC14F2">
        <w:rPr>
          <w:rFonts w:ascii="Verdana" w:hAnsi="Verdana" w:cs="Times New Roman"/>
        </w:rPr>
        <w:t>6-8</w:t>
      </w:r>
      <w:r w:rsidR="006827BF" w:rsidRPr="00EC14F2">
        <w:rPr>
          <w:rFonts w:ascii="Verdana" w:hAnsi="Verdana" w:cs="Times New Roman"/>
        </w:rPr>
        <w:t xml:space="preserve"> </w:t>
      </w:r>
      <w:r w:rsidRPr="00EC14F2">
        <w:rPr>
          <w:rFonts w:ascii="Verdana" w:hAnsi="Verdana" w:cs="Times New Roman"/>
        </w:rPr>
        <w:t xml:space="preserve">to 2-3 </w:t>
      </w:r>
      <w:r w:rsidR="006827BF" w:rsidRPr="00EC14F2">
        <w:rPr>
          <w:rFonts w:ascii="Verdana" w:hAnsi="Verdana" w:cs="Times New Roman"/>
        </w:rPr>
        <w:t>persons</w:t>
      </w:r>
      <w:r w:rsidRPr="00EC14F2">
        <w:rPr>
          <w:rFonts w:ascii="Verdana" w:hAnsi="Verdana" w:cs="Times New Roman"/>
        </w:rPr>
        <w:t>.</w:t>
      </w:r>
    </w:p>
    <w:p w14:paraId="6692780F" w14:textId="39BC5DFA" w:rsidR="00486098" w:rsidRPr="00EC14F2" w:rsidRDefault="00486098" w:rsidP="00EC14F2">
      <w:pPr>
        <w:rPr>
          <w:rFonts w:ascii="Verdana" w:hAnsi="Verdana" w:cs="Times New Roman"/>
        </w:rPr>
      </w:pPr>
      <w:r w:rsidRPr="00EC14F2">
        <w:rPr>
          <w:rFonts w:ascii="Verdana" w:hAnsi="Verdana" w:cs="Times New Roman"/>
        </w:rPr>
        <w:t xml:space="preserve">Some research participants felt that a two-step deinstitutionalisation process </w:t>
      </w:r>
      <w:r w:rsidR="00843B45" w:rsidRPr="00EC14F2">
        <w:rPr>
          <w:rFonts w:ascii="Verdana" w:hAnsi="Verdana" w:cs="Times New Roman"/>
        </w:rPr>
        <w:t>is</w:t>
      </w:r>
      <w:r w:rsidRPr="00EC14F2">
        <w:rPr>
          <w:rFonts w:ascii="Verdana" w:hAnsi="Verdana" w:cs="Times New Roman"/>
        </w:rPr>
        <w:t xml:space="preserve"> more likely to succeed </w:t>
      </w:r>
      <w:r w:rsidR="00843B45" w:rsidRPr="00EC14F2">
        <w:rPr>
          <w:rFonts w:ascii="Verdana" w:hAnsi="Verdana" w:cs="Times New Roman"/>
        </w:rPr>
        <w:t>as it enables persons with disabilities to receive additional support and build up new skills during a more gradual transition</w:t>
      </w:r>
      <w:r w:rsidRPr="00EC14F2">
        <w:rPr>
          <w:rFonts w:ascii="Verdana" w:hAnsi="Verdana" w:cs="Times New Roman"/>
        </w:rPr>
        <w:t>.</w:t>
      </w:r>
      <w:r w:rsidR="00843B45" w:rsidRPr="00EC14F2">
        <w:rPr>
          <w:rFonts w:ascii="Verdana" w:hAnsi="Verdana" w:cs="Times New Roman"/>
        </w:rPr>
        <w:t xml:space="preserve"> </w:t>
      </w:r>
      <w:r w:rsidRPr="00EC14F2">
        <w:rPr>
          <w:rFonts w:ascii="Verdana" w:hAnsi="Verdana" w:cs="Times New Roman"/>
        </w:rPr>
        <w:t xml:space="preserve">However, others felt that a </w:t>
      </w:r>
      <w:r w:rsidR="00843B45" w:rsidRPr="00EC14F2">
        <w:rPr>
          <w:rFonts w:ascii="Verdana" w:hAnsi="Verdana" w:cs="Times New Roman"/>
        </w:rPr>
        <w:t>two-step</w:t>
      </w:r>
      <w:r w:rsidRPr="00EC14F2">
        <w:rPr>
          <w:rFonts w:ascii="Verdana" w:hAnsi="Verdana" w:cs="Times New Roman"/>
        </w:rPr>
        <w:t xml:space="preserve"> approach </w:t>
      </w:r>
      <w:r w:rsidR="00843B45" w:rsidRPr="00EC14F2">
        <w:rPr>
          <w:rFonts w:ascii="Verdana" w:hAnsi="Verdana" w:cs="Times New Roman"/>
        </w:rPr>
        <w:t>both</w:t>
      </w:r>
      <w:r w:rsidRPr="00EC14F2">
        <w:rPr>
          <w:rFonts w:ascii="Verdana" w:hAnsi="Verdana" w:cs="Times New Roman"/>
        </w:rPr>
        <w:t xml:space="preserve"> distract</w:t>
      </w:r>
      <w:r w:rsidR="00843B45" w:rsidRPr="00EC14F2">
        <w:rPr>
          <w:rFonts w:ascii="Verdana" w:hAnsi="Verdana" w:cs="Times New Roman"/>
        </w:rPr>
        <w:t>s from reaching the goal of independent living</w:t>
      </w:r>
      <w:r w:rsidRPr="00EC14F2">
        <w:rPr>
          <w:rFonts w:ascii="Verdana" w:hAnsi="Verdana" w:cs="Times New Roman"/>
        </w:rPr>
        <w:t xml:space="preserve"> and waste</w:t>
      </w:r>
      <w:r w:rsidR="00843B45" w:rsidRPr="00EC14F2">
        <w:rPr>
          <w:rFonts w:ascii="Verdana" w:hAnsi="Verdana" w:cs="Times New Roman"/>
        </w:rPr>
        <w:t>s</w:t>
      </w:r>
      <w:r w:rsidRPr="00EC14F2">
        <w:rPr>
          <w:rFonts w:ascii="Verdana" w:hAnsi="Verdana" w:cs="Times New Roman"/>
        </w:rPr>
        <w:t xml:space="preserve"> </w:t>
      </w:r>
      <w:r w:rsidR="00843B45" w:rsidRPr="00EC14F2">
        <w:rPr>
          <w:rFonts w:ascii="Verdana" w:hAnsi="Verdana" w:cs="Times New Roman"/>
        </w:rPr>
        <w:t>limited</w:t>
      </w:r>
      <w:r w:rsidRPr="00EC14F2">
        <w:rPr>
          <w:rFonts w:ascii="Verdana" w:hAnsi="Verdana" w:cs="Times New Roman"/>
        </w:rPr>
        <w:t xml:space="preserve"> resources. In Bulgaria, for example, </w:t>
      </w:r>
      <w:r w:rsidR="00843B45" w:rsidRPr="00EC14F2">
        <w:rPr>
          <w:rFonts w:ascii="Verdana" w:hAnsi="Verdana" w:cs="Times New Roman"/>
        </w:rPr>
        <w:t xml:space="preserve">representatives of </w:t>
      </w:r>
      <w:r w:rsidR="00673E13" w:rsidRPr="00EC14F2">
        <w:rPr>
          <w:rFonts w:ascii="Verdana" w:hAnsi="Verdana" w:cs="Times New Roman"/>
        </w:rPr>
        <w:t>the independent living movement</w:t>
      </w:r>
      <w:r w:rsidR="00843B45" w:rsidRPr="00EC14F2">
        <w:rPr>
          <w:rFonts w:ascii="Verdana" w:hAnsi="Verdana" w:cs="Times New Roman"/>
        </w:rPr>
        <w:t xml:space="preserve"> expressed concern</w:t>
      </w:r>
      <w:r w:rsidRPr="00EC14F2">
        <w:rPr>
          <w:rFonts w:ascii="Verdana" w:hAnsi="Verdana" w:cs="Times New Roman"/>
        </w:rPr>
        <w:t xml:space="preserve"> that </w:t>
      </w:r>
      <w:r w:rsidR="00843B45" w:rsidRPr="00EC14F2">
        <w:rPr>
          <w:rFonts w:ascii="Verdana" w:hAnsi="Verdana" w:cs="Times New Roman"/>
        </w:rPr>
        <w:t xml:space="preserve">the </w:t>
      </w:r>
      <w:r w:rsidRPr="00EC14F2">
        <w:rPr>
          <w:rFonts w:ascii="Verdana" w:hAnsi="Verdana" w:cs="Times New Roman"/>
        </w:rPr>
        <w:t>community</w:t>
      </w:r>
      <w:r w:rsidR="00843B45" w:rsidRPr="00EC14F2">
        <w:rPr>
          <w:rFonts w:ascii="Verdana" w:hAnsi="Verdana" w:cs="Times New Roman"/>
        </w:rPr>
        <w:t>-</w:t>
      </w:r>
      <w:r w:rsidRPr="00EC14F2">
        <w:rPr>
          <w:rFonts w:ascii="Verdana" w:hAnsi="Verdana" w:cs="Times New Roman"/>
        </w:rPr>
        <w:t xml:space="preserve">based services now being built </w:t>
      </w:r>
      <w:r w:rsidR="00843B45" w:rsidRPr="00EC14F2">
        <w:rPr>
          <w:rFonts w:ascii="Verdana" w:hAnsi="Verdana" w:cs="Times New Roman"/>
        </w:rPr>
        <w:t>risk</w:t>
      </w:r>
      <w:r w:rsidRPr="00EC14F2">
        <w:rPr>
          <w:rFonts w:ascii="Verdana" w:hAnsi="Verdana" w:cs="Times New Roman"/>
        </w:rPr>
        <w:t xml:space="preserve"> </w:t>
      </w:r>
      <w:r w:rsidR="00843B45" w:rsidRPr="00EC14F2">
        <w:rPr>
          <w:rFonts w:ascii="Verdana" w:hAnsi="Verdana" w:cs="Times New Roman"/>
        </w:rPr>
        <w:t>perpetuating</w:t>
      </w:r>
      <w:r w:rsidRPr="00EC14F2">
        <w:rPr>
          <w:rFonts w:ascii="Verdana" w:hAnsi="Verdana" w:cs="Times New Roman"/>
        </w:rPr>
        <w:t xml:space="preserve"> institu</w:t>
      </w:r>
      <w:r w:rsidR="00843B45" w:rsidRPr="00EC14F2">
        <w:rPr>
          <w:rFonts w:ascii="Verdana" w:hAnsi="Verdana" w:cs="Times New Roman"/>
        </w:rPr>
        <w:t>tional care in smaller settings</w:t>
      </w:r>
      <w:r w:rsidRPr="00EC14F2">
        <w:rPr>
          <w:rFonts w:ascii="Verdana" w:hAnsi="Verdana" w:cs="Times New Roman"/>
        </w:rPr>
        <w:t xml:space="preserve"> and that a more individualised approach </w:t>
      </w:r>
      <w:r w:rsidR="00843B45" w:rsidRPr="00EC14F2">
        <w:rPr>
          <w:rFonts w:ascii="Verdana" w:hAnsi="Verdana" w:cs="Times New Roman"/>
        </w:rPr>
        <w:t>should</w:t>
      </w:r>
      <w:r w:rsidRPr="00EC14F2">
        <w:rPr>
          <w:rFonts w:ascii="Verdana" w:hAnsi="Verdana" w:cs="Times New Roman"/>
        </w:rPr>
        <w:t xml:space="preserve"> be taken from the outset. </w:t>
      </w:r>
    </w:p>
    <w:p w14:paraId="10951A9F" w14:textId="75175333" w:rsidR="005C34C8" w:rsidRPr="00EC14F2" w:rsidRDefault="005C34C8" w:rsidP="00EC14F2">
      <w:pPr>
        <w:pStyle w:val="Heading2"/>
        <w:rPr>
          <w:rFonts w:ascii="Verdana" w:hAnsi="Verdana"/>
        </w:rPr>
      </w:pPr>
      <w:r w:rsidRPr="00EC14F2">
        <w:rPr>
          <w:rFonts w:ascii="Verdana" w:hAnsi="Verdana"/>
        </w:rPr>
        <w:t>Policy implications</w:t>
      </w:r>
    </w:p>
    <w:p w14:paraId="26A88CBB" w14:textId="5C1107B6" w:rsidR="00DD3253" w:rsidRPr="00EC14F2" w:rsidRDefault="00843B45" w:rsidP="00EC14F2">
      <w:pPr>
        <w:rPr>
          <w:rFonts w:ascii="Verdana" w:hAnsi="Verdana" w:cs="Times New Roman"/>
        </w:rPr>
      </w:pPr>
      <w:r w:rsidRPr="00EC14F2">
        <w:rPr>
          <w:rFonts w:ascii="Verdana" w:hAnsi="Verdana" w:cs="Times New Roman"/>
        </w:rPr>
        <w:t>Many participants</w:t>
      </w:r>
      <w:r w:rsidR="00305FB5" w:rsidRPr="00EC14F2">
        <w:rPr>
          <w:rFonts w:ascii="Verdana" w:hAnsi="Verdana" w:cs="Times New Roman"/>
        </w:rPr>
        <w:t xml:space="preserve"> </w:t>
      </w:r>
      <w:r w:rsidRPr="00EC14F2">
        <w:rPr>
          <w:rFonts w:ascii="Verdana" w:hAnsi="Verdana" w:cs="Times New Roman"/>
        </w:rPr>
        <w:t xml:space="preserve">highlighted the importance of ensuring that sufficient and appropriate </w:t>
      </w:r>
      <w:r w:rsidR="00305FB5" w:rsidRPr="00EC14F2">
        <w:rPr>
          <w:rFonts w:ascii="Verdana" w:hAnsi="Verdana" w:cs="Times New Roman"/>
        </w:rPr>
        <w:t xml:space="preserve">support </w:t>
      </w:r>
      <w:r w:rsidRPr="00EC14F2">
        <w:rPr>
          <w:rFonts w:ascii="Verdana" w:hAnsi="Verdana" w:cs="Times New Roman"/>
        </w:rPr>
        <w:t xml:space="preserve">is </w:t>
      </w:r>
      <w:r w:rsidR="00305FB5" w:rsidRPr="00EC14F2">
        <w:rPr>
          <w:rFonts w:ascii="Verdana" w:hAnsi="Verdana" w:cs="Times New Roman"/>
        </w:rPr>
        <w:t xml:space="preserve">available for those who </w:t>
      </w:r>
      <w:r w:rsidRPr="00EC14F2">
        <w:rPr>
          <w:rFonts w:ascii="Verdana" w:hAnsi="Verdana" w:cs="Times New Roman"/>
        </w:rPr>
        <w:t>first moved to</w:t>
      </w:r>
      <w:r w:rsidR="00305FB5" w:rsidRPr="00EC14F2">
        <w:rPr>
          <w:rFonts w:ascii="Verdana" w:hAnsi="Verdana" w:cs="Times New Roman"/>
        </w:rPr>
        <w:t xml:space="preserve"> in group homes </w:t>
      </w:r>
      <w:r w:rsidRPr="00EC14F2">
        <w:rPr>
          <w:rFonts w:ascii="Verdana" w:hAnsi="Verdana" w:cs="Times New Roman"/>
        </w:rPr>
        <w:t xml:space="preserve">but </w:t>
      </w:r>
      <w:r w:rsidR="00305FB5" w:rsidRPr="00EC14F2">
        <w:rPr>
          <w:rFonts w:ascii="Verdana" w:hAnsi="Verdana" w:cs="Times New Roman"/>
        </w:rPr>
        <w:t xml:space="preserve">now wish to live more independently. One participant with a disability </w:t>
      </w:r>
      <w:r w:rsidRPr="00EC14F2">
        <w:rPr>
          <w:rFonts w:ascii="Verdana" w:hAnsi="Verdana" w:cs="Times New Roman"/>
        </w:rPr>
        <w:t>recounted how she</w:t>
      </w:r>
      <w:r w:rsidR="00305FB5" w:rsidRPr="00EC14F2">
        <w:rPr>
          <w:rFonts w:ascii="Verdana" w:hAnsi="Verdana" w:cs="Times New Roman"/>
        </w:rPr>
        <w:t xml:space="preserve"> moving from a group home to an apartment shared with a close friend. </w:t>
      </w:r>
      <w:r w:rsidRPr="00EC14F2">
        <w:rPr>
          <w:rFonts w:ascii="Verdana" w:hAnsi="Verdana" w:cs="Times New Roman"/>
        </w:rPr>
        <w:t>However, a l</w:t>
      </w:r>
      <w:r w:rsidR="00305FB5" w:rsidRPr="00EC14F2">
        <w:rPr>
          <w:rFonts w:ascii="Verdana" w:hAnsi="Verdana" w:cs="Times New Roman"/>
        </w:rPr>
        <w:t xml:space="preserve">ack of support to navigate difficulties with </w:t>
      </w:r>
      <w:r w:rsidRPr="00EC14F2">
        <w:rPr>
          <w:rFonts w:ascii="Verdana" w:hAnsi="Verdana" w:cs="Times New Roman"/>
        </w:rPr>
        <w:t xml:space="preserve">the </w:t>
      </w:r>
      <w:r w:rsidR="00305FB5" w:rsidRPr="00EC14F2">
        <w:rPr>
          <w:rFonts w:ascii="Verdana" w:hAnsi="Verdana" w:cs="Times New Roman"/>
        </w:rPr>
        <w:t>landlord</w:t>
      </w:r>
      <w:r w:rsidRPr="00EC14F2">
        <w:rPr>
          <w:rFonts w:ascii="Verdana" w:hAnsi="Verdana" w:cs="Times New Roman"/>
        </w:rPr>
        <w:t xml:space="preserve"> </w:t>
      </w:r>
      <w:r w:rsidR="00305FB5" w:rsidRPr="00EC14F2">
        <w:rPr>
          <w:rFonts w:ascii="Verdana" w:hAnsi="Verdana" w:cs="Times New Roman"/>
        </w:rPr>
        <w:t>meant that the</w:t>
      </w:r>
      <w:r w:rsidR="00CA0BF5" w:rsidRPr="00EC14F2">
        <w:rPr>
          <w:rFonts w:ascii="Verdana" w:hAnsi="Verdana" w:cs="Times New Roman"/>
        </w:rPr>
        <w:t xml:space="preserve">y had little choice but </w:t>
      </w:r>
      <w:r w:rsidR="00305FB5" w:rsidRPr="00EC14F2">
        <w:rPr>
          <w:rFonts w:ascii="Verdana" w:hAnsi="Verdana" w:cs="Times New Roman"/>
        </w:rPr>
        <w:t xml:space="preserve">to return to </w:t>
      </w:r>
      <w:r w:rsidR="00CA0BF5" w:rsidRPr="00EC14F2">
        <w:rPr>
          <w:rFonts w:ascii="Verdana" w:hAnsi="Verdana" w:cs="Times New Roman"/>
        </w:rPr>
        <w:t>a group home</w:t>
      </w:r>
      <w:r w:rsidR="00305FB5" w:rsidRPr="00EC14F2">
        <w:rPr>
          <w:rFonts w:ascii="Verdana" w:hAnsi="Verdana" w:cs="Times New Roman"/>
        </w:rPr>
        <w:t>.</w:t>
      </w:r>
    </w:p>
    <w:p w14:paraId="28EF52E9" w14:textId="711F8F76" w:rsidR="005644D4" w:rsidRPr="00EC14F2" w:rsidRDefault="00CA0BF5" w:rsidP="00EC14F2">
      <w:pPr>
        <w:rPr>
          <w:rFonts w:ascii="Verdana" w:hAnsi="Verdana" w:cs="Times New Roman"/>
        </w:rPr>
      </w:pPr>
      <w:r w:rsidRPr="00EC14F2">
        <w:rPr>
          <w:rFonts w:ascii="Verdana" w:hAnsi="Verdana" w:cs="Times New Roman"/>
        </w:rPr>
        <w:lastRenderedPageBreak/>
        <w:t>P</w:t>
      </w:r>
      <w:r w:rsidR="005644D4" w:rsidRPr="00EC14F2">
        <w:rPr>
          <w:rFonts w:ascii="Verdana" w:hAnsi="Verdana" w:cs="Times New Roman"/>
        </w:rPr>
        <w:t xml:space="preserve">articipants </w:t>
      </w:r>
      <w:r w:rsidRPr="00EC14F2">
        <w:rPr>
          <w:rFonts w:ascii="Verdana" w:hAnsi="Verdana" w:cs="Times New Roman"/>
        </w:rPr>
        <w:t xml:space="preserve">also emphasised </w:t>
      </w:r>
      <w:r w:rsidR="005644D4" w:rsidRPr="00EC14F2">
        <w:rPr>
          <w:rFonts w:ascii="Verdana" w:hAnsi="Verdana" w:cs="Times New Roman"/>
        </w:rPr>
        <w:t xml:space="preserve">that there is no one </w:t>
      </w:r>
      <w:r w:rsidRPr="00EC14F2">
        <w:rPr>
          <w:rFonts w:ascii="Verdana" w:hAnsi="Verdana" w:cs="Times New Roman"/>
        </w:rPr>
        <w:t>‘</w:t>
      </w:r>
      <w:r w:rsidR="005644D4" w:rsidRPr="00EC14F2">
        <w:rPr>
          <w:rFonts w:ascii="Verdana" w:hAnsi="Verdana" w:cs="Times New Roman"/>
        </w:rPr>
        <w:t>solution</w:t>
      </w:r>
      <w:r w:rsidRPr="00EC14F2">
        <w:rPr>
          <w:rFonts w:ascii="Verdana" w:hAnsi="Verdana" w:cs="Times New Roman"/>
        </w:rPr>
        <w:t>’</w:t>
      </w:r>
      <w:r w:rsidR="005644D4" w:rsidRPr="00EC14F2">
        <w:rPr>
          <w:rFonts w:ascii="Verdana" w:hAnsi="Verdana" w:cs="Times New Roman"/>
        </w:rPr>
        <w:t xml:space="preserve"> to </w:t>
      </w:r>
      <w:r w:rsidRPr="00EC14F2">
        <w:rPr>
          <w:rFonts w:ascii="Verdana" w:hAnsi="Verdana" w:cs="Times New Roman"/>
        </w:rPr>
        <w:t xml:space="preserve">achieving independent </w:t>
      </w:r>
      <w:r w:rsidR="005644D4" w:rsidRPr="00EC14F2">
        <w:rPr>
          <w:rFonts w:ascii="Verdana" w:hAnsi="Verdana" w:cs="Times New Roman"/>
        </w:rPr>
        <w:t>living</w:t>
      </w:r>
      <w:r w:rsidRPr="00EC14F2">
        <w:rPr>
          <w:rFonts w:ascii="Verdana" w:hAnsi="Verdana" w:cs="Times New Roman"/>
        </w:rPr>
        <w:t>. Individuals each have different needs, and those needs change as people’s circumstances alter over time. This underlines the importance of policy actions that are both flexible and responsive to the needs of people with disabilities</w:t>
      </w:r>
      <w:r w:rsidR="005644D4" w:rsidRPr="00EC14F2">
        <w:rPr>
          <w:rFonts w:ascii="Verdana" w:hAnsi="Verdana" w:cs="Times New Roman"/>
        </w:rPr>
        <w:t>.</w:t>
      </w:r>
    </w:p>
    <w:p w14:paraId="5064A87B" w14:textId="77777777" w:rsidR="00DD3253" w:rsidRPr="00EC14F2" w:rsidRDefault="00DD3253" w:rsidP="00EC14F2">
      <w:pPr>
        <w:pBdr>
          <w:top w:val="single" w:sz="4" w:space="1" w:color="auto"/>
          <w:left w:val="single" w:sz="4" w:space="4" w:color="auto"/>
          <w:bottom w:val="single" w:sz="4" w:space="1" w:color="auto"/>
          <w:right w:val="single" w:sz="4" w:space="4" w:color="auto"/>
        </w:pBdr>
        <w:rPr>
          <w:rFonts w:ascii="Verdana" w:hAnsi="Verdana" w:cs="Times New Roman"/>
          <w:b/>
        </w:rPr>
      </w:pPr>
      <w:r w:rsidRPr="00EC14F2">
        <w:rPr>
          <w:rFonts w:ascii="Verdana" w:hAnsi="Verdana" w:cs="Times New Roman"/>
          <w:b/>
        </w:rPr>
        <w:t>FRA’s local-level research on drivers and barriers of deinstitutionalisation</w:t>
      </w:r>
    </w:p>
    <w:p w14:paraId="54930FBC" w14:textId="77777777" w:rsidR="00AB7C7D" w:rsidRPr="00EC14F2" w:rsidRDefault="00DD3253" w:rsidP="00EC14F2">
      <w:pPr>
        <w:pBdr>
          <w:top w:val="single" w:sz="4" w:space="1" w:color="auto"/>
          <w:left w:val="single" w:sz="4" w:space="4" w:color="auto"/>
          <w:bottom w:val="single" w:sz="4" w:space="1" w:color="auto"/>
          <w:right w:val="single" w:sz="4" w:space="4" w:color="auto"/>
        </w:pBdr>
        <w:spacing w:before="240"/>
        <w:rPr>
          <w:rFonts w:ascii="Verdana" w:hAnsi="Verdana" w:cs="Times New Roman"/>
        </w:rPr>
      </w:pPr>
      <w:r w:rsidRPr="00EC14F2">
        <w:rPr>
          <w:rFonts w:ascii="Verdana" w:hAnsi="Verdana" w:cs="Times New Roman"/>
        </w:rPr>
        <w:t>FRA wanted to contribute to making implementation of deinstitutionalisation more effective by capturing evidence of what is and what is not working on the ground. To do this, the agency conducted extensive fieldwork research in five EU Member States (Bulgaria, Finland, Ireland, Italy and Slovakia) at different stages of the deinstitutionalisation process. The fieldwork aimed to give actors involved in the deinstitutionalisation process – from national policy makers, to persons with disabilities, and the staff of institutional and community-based services – the opportunity to share their knowledge and experience of what drives the process forward, and the barriers that hold it back.</w:t>
      </w:r>
    </w:p>
    <w:p w14:paraId="52FE6714" w14:textId="7D4B80A4" w:rsidR="00AB7C7D" w:rsidRPr="00EC14F2" w:rsidRDefault="00AB7C7D" w:rsidP="00EC14F2">
      <w:pPr>
        <w:pBdr>
          <w:top w:val="single" w:sz="4" w:space="1" w:color="auto"/>
          <w:left w:val="single" w:sz="4" w:space="4" w:color="auto"/>
          <w:bottom w:val="single" w:sz="4" w:space="1" w:color="auto"/>
          <w:right w:val="single" w:sz="4" w:space="4" w:color="auto"/>
        </w:pBdr>
        <w:spacing w:before="240"/>
        <w:rPr>
          <w:rFonts w:ascii="Verdana" w:hAnsi="Verdana" w:cs="Times New Roman"/>
        </w:rPr>
      </w:pPr>
      <w:r w:rsidRPr="00EC14F2">
        <w:rPr>
          <w:rFonts w:ascii="Verdana" w:hAnsi="Verdana" w:cs="Times New Roman"/>
        </w:rPr>
        <w:t xml:space="preserve">The main results of this research are presented in the report FRA (2018), </w:t>
      </w:r>
      <w:hyperlink r:id="rId13" w:history="1">
        <w:r w:rsidRPr="00EC14F2">
          <w:rPr>
            <w:rStyle w:val="Hyperlink"/>
            <w:rFonts w:ascii="Verdana" w:hAnsi="Verdana"/>
            <w:i/>
            <w:lang w:val="en-GB"/>
          </w:rPr>
          <w:t>From institutions to community living for persons with disabilities: perspectives from the ground</w:t>
        </w:r>
      </w:hyperlink>
      <w:r w:rsidRPr="00EC14F2">
        <w:rPr>
          <w:rFonts w:ascii="Verdana" w:hAnsi="Verdana" w:cs="Times New Roman"/>
          <w:i/>
        </w:rPr>
        <w:t>.</w:t>
      </w:r>
    </w:p>
    <w:p w14:paraId="2B24989A" w14:textId="694932B0" w:rsidR="00AB7C7D" w:rsidRPr="00EC14F2" w:rsidRDefault="00AB7C7D" w:rsidP="00EC14F2">
      <w:pPr>
        <w:rPr>
          <w:rFonts w:ascii="Verdana" w:hAnsi="Verdana" w:cs="Times New Roman"/>
        </w:rPr>
      </w:pPr>
    </w:p>
    <w:p w14:paraId="35FF24A9" w14:textId="77777777" w:rsidR="00AB7C7D" w:rsidRPr="00EC14F2" w:rsidRDefault="00AB7C7D" w:rsidP="00EC14F2">
      <w:pPr>
        <w:pStyle w:val="Default"/>
        <w:rPr>
          <w:rFonts w:ascii="Verdana" w:hAnsi="Verdana"/>
          <w:b/>
          <w:bCs/>
          <w:color w:val="263384"/>
          <w:sz w:val="18"/>
          <w:szCs w:val="18"/>
        </w:rPr>
      </w:pPr>
      <w:r w:rsidRPr="00EC14F2">
        <w:rPr>
          <w:rFonts w:ascii="Verdana" w:hAnsi="Verdana"/>
          <w:b/>
          <w:bCs/>
          <w:color w:val="263384"/>
          <w:sz w:val="18"/>
          <w:szCs w:val="18"/>
        </w:rPr>
        <w:t xml:space="preserve">FRA – European Union Agency for Fundamental Rights </w:t>
      </w:r>
    </w:p>
    <w:p w14:paraId="182E43A2" w14:textId="77777777" w:rsidR="00AB7C7D" w:rsidRPr="00EC14F2" w:rsidRDefault="00AB7C7D" w:rsidP="00EC14F2">
      <w:pPr>
        <w:pStyle w:val="Default"/>
        <w:rPr>
          <w:rFonts w:ascii="Verdana" w:hAnsi="Verdana" w:cs="BGNLNM+ArialMT"/>
          <w:color w:val="F4D822"/>
          <w:sz w:val="10"/>
          <w:szCs w:val="10"/>
        </w:rPr>
      </w:pPr>
      <w:r w:rsidRPr="00EC14F2">
        <w:rPr>
          <w:rFonts w:ascii="Verdana" w:hAnsi="Verdana" w:cs="NUSPHN+DaxlineOffcPro"/>
          <w:sz w:val="18"/>
          <w:szCs w:val="18"/>
        </w:rPr>
        <w:t xml:space="preserve">Schwarzenbergplatz 11 </w:t>
      </w:r>
      <w:r w:rsidRPr="00EC14F2">
        <w:rPr>
          <w:rFonts w:ascii="Arial" w:hAnsi="Arial" w:cs="Arial"/>
          <w:color w:val="F4D822"/>
          <w:sz w:val="10"/>
          <w:szCs w:val="10"/>
        </w:rPr>
        <w:t>▀</w:t>
      </w:r>
      <w:r w:rsidRPr="00EC14F2">
        <w:rPr>
          <w:rFonts w:ascii="Verdana" w:hAnsi="Verdana" w:cs="BGNLNM+ArialMT"/>
          <w:color w:val="F4D822"/>
          <w:sz w:val="10"/>
          <w:szCs w:val="10"/>
        </w:rPr>
        <w:t xml:space="preserve"> </w:t>
      </w:r>
      <w:r w:rsidRPr="00EC14F2">
        <w:rPr>
          <w:rFonts w:ascii="Verdana" w:hAnsi="Verdana" w:cs="NUSPHN+DaxlineOffcPro"/>
          <w:sz w:val="18"/>
          <w:szCs w:val="18"/>
        </w:rPr>
        <w:t xml:space="preserve">1040 Vienna </w:t>
      </w:r>
      <w:r w:rsidRPr="00EC14F2">
        <w:rPr>
          <w:rFonts w:ascii="Arial" w:hAnsi="Arial" w:cs="Arial"/>
          <w:color w:val="F4D822"/>
          <w:sz w:val="10"/>
          <w:szCs w:val="10"/>
        </w:rPr>
        <w:t>▀</w:t>
      </w:r>
      <w:r w:rsidRPr="00EC14F2">
        <w:rPr>
          <w:rFonts w:ascii="Verdana" w:hAnsi="Verdana" w:cs="BGNLNM+ArialMT"/>
          <w:color w:val="F4D822"/>
          <w:sz w:val="10"/>
          <w:szCs w:val="10"/>
        </w:rPr>
        <w:t xml:space="preserve"> </w:t>
      </w:r>
      <w:r w:rsidRPr="00EC14F2">
        <w:rPr>
          <w:rFonts w:ascii="Verdana" w:hAnsi="Verdana" w:cs="NUSPHN+DaxlineOffcPro"/>
          <w:sz w:val="18"/>
          <w:szCs w:val="18"/>
        </w:rPr>
        <w:t>Austria</w:t>
      </w:r>
    </w:p>
    <w:p w14:paraId="41E56855" w14:textId="77777777" w:rsidR="00AB7C7D" w:rsidRPr="00EC14F2" w:rsidRDefault="00AB7C7D" w:rsidP="00EC14F2">
      <w:pPr>
        <w:pStyle w:val="Default"/>
        <w:rPr>
          <w:rFonts w:ascii="Verdana" w:hAnsi="Verdana" w:cs="NUSPHN+DaxlineOffcPro"/>
          <w:color w:val="262424"/>
          <w:sz w:val="18"/>
          <w:szCs w:val="18"/>
        </w:rPr>
      </w:pPr>
      <w:r w:rsidRPr="00EC14F2">
        <w:rPr>
          <w:rFonts w:ascii="Verdana" w:hAnsi="Verdana" w:cs="NUSPHN+DaxlineOffcPro"/>
          <w:sz w:val="18"/>
          <w:szCs w:val="18"/>
        </w:rPr>
        <w:t xml:space="preserve">Tel +43 158030-0 </w:t>
      </w:r>
      <w:r w:rsidRPr="00EC14F2">
        <w:rPr>
          <w:rFonts w:ascii="Arial" w:hAnsi="Arial" w:cs="Arial"/>
          <w:color w:val="F4D822"/>
          <w:sz w:val="10"/>
          <w:szCs w:val="10"/>
        </w:rPr>
        <w:t>▀</w:t>
      </w:r>
      <w:r w:rsidRPr="00EC14F2">
        <w:rPr>
          <w:rFonts w:ascii="Verdana" w:hAnsi="Verdana" w:cs="BGNLNM+ArialMT"/>
          <w:color w:val="F4D822"/>
          <w:sz w:val="10"/>
          <w:szCs w:val="10"/>
        </w:rPr>
        <w:t xml:space="preserve"> </w:t>
      </w:r>
      <w:r w:rsidRPr="00EC14F2">
        <w:rPr>
          <w:rFonts w:ascii="Verdana" w:hAnsi="Verdana" w:cs="NUSPHN+DaxlineOffcPro"/>
          <w:sz w:val="18"/>
          <w:szCs w:val="18"/>
        </w:rPr>
        <w:t xml:space="preserve">Fax +43 </w:t>
      </w:r>
      <w:r w:rsidRPr="00EC14F2">
        <w:rPr>
          <w:rFonts w:ascii="Verdana" w:hAnsi="Verdana" w:cs="NUSPHN+DaxlineOffcPro"/>
          <w:color w:val="262424"/>
          <w:sz w:val="18"/>
          <w:szCs w:val="18"/>
        </w:rPr>
        <w:t>158030-699</w:t>
      </w:r>
    </w:p>
    <w:p w14:paraId="18E04D7D" w14:textId="77777777" w:rsidR="00AB7C7D" w:rsidRPr="00EC14F2" w:rsidRDefault="00AB7C7D" w:rsidP="00EC14F2">
      <w:pPr>
        <w:pStyle w:val="Default"/>
        <w:rPr>
          <w:rFonts w:ascii="Verdana" w:hAnsi="Verdana" w:cs="NUSPHN+DaxlineOffcPro"/>
          <w:color w:val="3D4596"/>
          <w:sz w:val="18"/>
          <w:szCs w:val="18"/>
        </w:rPr>
      </w:pPr>
      <w:r w:rsidRPr="00EC14F2">
        <w:rPr>
          <w:rFonts w:ascii="Verdana" w:hAnsi="Verdana" w:cs="NUSPHN+DaxlineOffcPro"/>
          <w:color w:val="3D4596"/>
          <w:sz w:val="18"/>
          <w:szCs w:val="18"/>
        </w:rPr>
        <w:t xml:space="preserve">fra.europa.eu </w:t>
      </w:r>
      <w:r w:rsidRPr="00EC14F2">
        <w:rPr>
          <w:rFonts w:ascii="Arial" w:hAnsi="Arial" w:cs="Arial"/>
          <w:color w:val="F4D822"/>
          <w:sz w:val="10"/>
          <w:szCs w:val="10"/>
        </w:rPr>
        <w:t>▀</w:t>
      </w:r>
      <w:r w:rsidRPr="00EC14F2">
        <w:rPr>
          <w:rFonts w:ascii="Verdana" w:hAnsi="Verdana" w:cs="BGNLNM+ArialMT"/>
          <w:color w:val="F4D822"/>
          <w:sz w:val="10"/>
          <w:szCs w:val="10"/>
        </w:rPr>
        <w:t xml:space="preserve"> </w:t>
      </w:r>
      <w:r w:rsidRPr="00EC14F2">
        <w:rPr>
          <w:rFonts w:ascii="Verdana" w:hAnsi="Verdana" w:cs="NUSPHN+DaxlineOffcPro"/>
          <w:color w:val="3D4596"/>
          <w:sz w:val="18"/>
          <w:szCs w:val="18"/>
        </w:rPr>
        <w:t>facebook.com/fundamentalrights</w:t>
      </w:r>
    </w:p>
    <w:p w14:paraId="70096842" w14:textId="77777777" w:rsidR="00AB7C7D" w:rsidRPr="00EC14F2" w:rsidRDefault="00AB7C7D" w:rsidP="00EC14F2">
      <w:pPr>
        <w:pStyle w:val="Default"/>
        <w:rPr>
          <w:rFonts w:ascii="Verdana" w:hAnsi="Verdana"/>
          <w:sz w:val="18"/>
          <w:szCs w:val="18"/>
        </w:rPr>
      </w:pPr>
      <w:r w:rsidRPr="00EC14F2">
        <w:rPr>
          <w:rFonts w:ascii="Verdana" w:hAnsi="Verdana" w:cs="BGNLNM+ArialMT"/>
          <w:color w:val="F4D822"/>
          <w:sz w:val="10"/>
          <w:szCs w:val="10"/>
        </w:rPr>
        <w:t xml:space="preserve"> </w:t>
      </w:r>
      <w:r w:rsidRPr="00EC14F2">
        <w:rPr>
          <w:rFonts w:ascii="Verdana" w:hAnsi="Verdana" w:cs="NUSPHN+DaxlineOffcPro"/>
          <w:color w:val="3D4596"/>
          <w:sz w:val="18"/>
          <w:szCs w:val="18"/>
        </w:rPr>
        <w:t xml:space="preserve">linkedin.com/company/eu-fundamental-rights-agency </w:t>
      </w:r>
      <w:r w:rsidRPr="00EC14F2">
        <w:rPr>
          <w:rFonts w:ascii="Arial" w:hAnsi="Arial" w:cs="Arial"/>
          <w:color w:val="F4D822"/>
          <w:sz w:val="10"/>
          <w:szCs w:val="10"/>
        </w:rPr>
        <w:t>▀</w:t>
      </w:r>
      <w:r w:rsidRPr="00EC14F2">
        <w:rPr>
          <w:rFonts w:ascii="Verdana" w:hAnsi="Verdana" w:cs="BGNLNM+ArialMT"/>
          <w:color w:val="F4D822"/>
          <w:sz w:val="10"/>
          <w:szCs w:val="10"/>
        </w:rPr>
        <w:t xml:space="preserve"> </w:t>
      </w:r>
      <w:r w:rsidRPr="00EC14F2">
        <w:rPr>
          <w:rFonts w:ascii="Verdana" w:hAnsi="Verdana" w:cs="NUSPHN+DaxlineOffcPro"/>
          <w:color w:val="3D4596"/>
          <w:sz w:val="18"/>
          <w:szCs w:val="18"/>
        </w:rPr>
        <w:t>twitter.com/EURightsAgency</w:t>
      </w:r>
    </w:p>
    <w:p w14:paraId="1379042E" w14:textId="7CBCFD07" w:rsidR="003A73E0" w:rsidRPr="00EC14F2" w:rsidRDefault="003A73E0" w:rsidP="00EC14F2">
      <w:pPr>
        <w:rPr>
          <w:rFonts w:ascii="Verdana" w:hAnsi="Verdana" w:cs="Times New Roman"/>
        </w:rPr>
      </w:pPr>
    </w:p>
    <w:sectPr w:rsidR="003A73E0" w:rsidRPr="00EC14F2" w:rsidSect="00D52AB0">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5F5AC" w16cid:durableId="1F2A9505"/>
  <w16cid:commentId w16cid:paraId="3AD1FCEA" w16cid:durableId="1F2A9016"/>
  <w16cid:commentId w16cid:paraId="4B910F63" w16cid:durableId="1F2A983A"/>
  <w16cid:commentId w16cid:paraId="0980F1AB" w16cid:durableId="1F2A984E"/>
  <w16cid:commentId w16cid:paraId="202DEDBE" w16cid:durableId="1F2A992C"/>
  <w16cid:commentId w16cid:paraId="788B40D7" w16cid:durableId="1F2A9A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51DE" w14:textId="77777777" w:rsidR="00114B55" w:rsidRDefault="00114B55" w:rsidP="007164FB">
      <w:pPr>
        <w:spacing w:after="0" w:line="240" w:lineRule="auto"/>
      </w:pPr>
      <w:r>
        <w:separator/>
      </w:r>
    </w:p>
  </w:endnote>
  <w:endnote w:type="continuationSeparator" w:id="0">
    <w:p w14:paraId="01854D44" w14:textId="77777777" w:rsidR="00114B55" w:rsidRDefault="00114B55" w:rsidP="007164FB">
      <w:pPr>
        <w:spacing w:after="0" w:line="240" w:lineRule="auto"/>
      </w:pPr>
      <w:r>
        <w:continuationSeparator/>
      </w:r>
    </w:p>
  </w:endnote>
  <w:endnote w:type="continuationNotice" w:id="1">
    <w:p w14:paraId="677CB6D9" w14:textId="77777777" w:rsidR="004A20D5" w:rsidRDefault="004A2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IJTP+DaxlineOffcPro-Bold">
    <w:altName w:val="MVIJTP+DaxlineOffcPro-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USPHN+DaxlineOffcPro">
    <w:altName w:val="NUSPHN+DaxlineOffcPro"/>
    <w:panose1 w:val="00000000000000000000"/>
    <w:charset w:val="00"/>
    <w:family w:val="swiss"/>
    <w:notTrueType/>
    <w:pitch w:val="default"/>
    <w:sig w:usb0="00000003" w:usb1="00000000" w:usb2="00000000" w:usb3="00000000" w:csb0="00000001" w:csb1="00000000"/>
  </w:font>
  <w:font w:name="BGNLNM+ArialMT">
    <w:altName w:val="BGNLNM+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3487036"/>
      <w:docPartObj>
        <w:docPartGallery w:val="Page Numbers (Bottom of Page)"/>
        <w:docPartUnique/>
      </w:docPartObj>
    </w:sdtPr>
    <w:sdtEndPr>
      <w:rPr>
        <w:noProof/>
      </w:rPr>
    </w:sdtEndPr>
    <w:sdtContent>
      <w:p w14:paraId="10BA6195" w14:textId="6739E48C" w:rsidR="00114B55" w:rsidRPr="0013770B" w:rsidRDefault="00114B55">
        <w:pPr>
          <w:pStyle w:val="Footer"/>
          <w:jc w:val="right"/>
          <w:rPr>
            <w:rFonts w:ascii="Times New Roman" w:hAnsi="Times New Roman" w:cs="Times New Roman"/>
          </w:rPr>
        </w:pPr>
        <w:r w:rsidRPr="0013770B">
          <w:rPr>
            <w:rFonts w:ascii="Times New Roman" w:hAnsi="Times New Roman" w:cs="Times New Roman"/>
          </w:rPr>
          <w:fldChar w:fldCharType="begin"/>
        </w:r>
        <w:r w:rsidRPr="0013770B">
          <w:rPr>
            <w:rFonts w:ascii="Times New Roman" w:hAnsi="Times New Roman" w:cs="Times New Roman"/>
          </w:rPr>
          <w:instrText xml:space="preserve"> PAGE   \* MERGEFORMAT </w:instrText>
        </w:r>
        <w:r w:rsidRPr="0013770B">
          <w:rPr>
            <w:rFonts w:ascii="Times New Roman" w:hAnsi="Times New Roman" w:cs="Times New Roman"/>
          </w:rPr>
          <w:fldChar w:fldCharType="separate"/>
        </w:r>
        <w:r w:rsidR="00B12822">
          <w:rPr>
            <w:rFonts w:ascii="Times New Roman" w:hAnsi="Times New Roman" w:cs="Times New Roman"/>
            <w:noProof/>
          </w:rPr>
          <w:t>6</w:t>
        </w:r>
        <w:r w:rsidRPr="0013770B">
          <w:rPr>
            <w:rFonts w:ascii="Times New Roman" w:hAnsi="Times New Roman" w:cs="Times New Roman"/>
            <w:noProof/>
          </w:rPr>
          <w:fldChar w:fldCharType="end"/>
        </w:r>
      </w:p>
    </w:sdtContent>
  </w:sdt>
  <w:p w14:paraId="0716D208" w14:textId="77777777" w:rsidR="00114B55" w:rsidRDefault="0011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B8C0" w14:textId="77777777" w:rsidR="00114B55" w:rsidRDefault="00114B55" w:rsidP="007164FB">
      <w:pPr>
        <w:spacing w:after="0" w:line="240" w:lineRule="auto"/>
      </w:pPr>
      <w:r>
        <w:separator/>
      </w:r>
    </w:p>
  </w:footnote>
  <w:footnote w:type="continuationSeparator" w:id="0">
    <w:p w14:paraId="02BF005B" w14:textId="77777777" w:rsidR="00114B55" w:rsidRDefault="00114B55" w:rsidP="007164FB">
      <w:pPr>
        <w:spacing w:after="0" w:line="240" w:lineRule="auto"/>
      </w:pPr>
      <w:r>
        <w:continuationSeparator/>
      </w:r>
    </w:p>
  </w:footnote>
  <w:footnote w:type="continuationNotice" w:id="1">
    <w:p w14:paraId="089B69DE" w14:textId="77777777" w:rsidR="004A20D5" w:rsidRDefault="004A20D5">
      <w:pPr>
        <w:spacing w:after="0" w:line="240" w:lineRule="auto"/>
      </w:pPr>
    </w:p>
  </w:footnote>
  <w:footnote w:id="2">
    <w:p w14:paraId="6EB26F23" w14:textId="77777777" w:rsidR="00114B55" w:rsidRPr="005A233B" w:rsidRDefault="00114B55" w:rsidP="005A233B">
      <w:pPr>
        <w:pStyle w:val="FootnoteText"/>
        <w:ind w:left="0"/>
        <w:rPr>
          <w:rFonts w:ascii="Verdana" w:hAnsi="Verdana" w:cs="Times New Roman"/>
          <w:sz w:val="16"/>
          <w:szCs w:val="16"/>
        </w:rPr>
      </w:pPr>
      <w:r w:rsidRPr="005A233B">
        <w:rPr>
          <w:rStyle w:val="FootnoteReference"/>
          <w:rFonts w:ascii="Verdana" w:hAnsi="Verdana" w:cs="Times New Roman"/>
          <w:sz w:val="16"/>
          <w:szCs w:val="16"/>
        </w:rPr>
        <w:footnoteRef/>
      </w:r>
      <w:r w:rsidRPr="005A233B">
        <w:rPr>
          <w:rFonts w:ascii="Verdana" w:hAnsi="Verdana" w:cs="Times New Roman"/>
          <w:sz w:val="16"/>
          <w:szCs w:val="16"/>
        </w:rPr>
        <w:t xml:space="preserve"> United Nations General Assembly (2014), </w:t>
      </w:r>
      <w:r w:rsidRPr="005A233B">
        <w:rPr>
          <w:rFonts w:ascii="Verdana" w:hAnsi="Verdana" w:cs="Times New Roman"/>
          <w:i/>
          <w:sz w:val="16"/>
          <w:szCs w:val="16"/>
        </w:rPr>
        <w:t xml:space="preserve">Thematic study on the right of persons with disabilities to live independently and be included in the community: report of the Office of the United Nations High Commissioner for Human Rights, </w:t>
      </w:r>
      <w:r w:rsidRPr="005A233B">
        <w:rPr>
          <w:rFonts w:ascii="Verdana" w:hAnsi="Verdana" w:cs="Times New Roman"/>
          <w:sz w:val="16"/>
          <w:szCs w:val="16"/>
        </w:rPr>
        <w:t>A/HRC/28/37, 12 December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26BA" w14:textId="7F1FAB49" w:rsidR="007170E3" w:rsidRDefault="007170E3">
    <w:pPr>
      <w:pStyle w:val="Header"/>
    </w:pPr>
  </w:p>
  <w:p w14:paraId="4C035138" w14:textId="77777777" w:rsidR="007170E3" w:rsidRDefault="0071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1BAE" w14:textId="6A9D1292" w:rsidR="007170E3" w:rsidRDefault="007170E3">
    <w:pPr>
      <w:pStyle w:val="Header"/>
    </w:pPr>
    <w:r w:rsidRPr="001460ED">
      <w:rPr>
        <w:noProof/>
        <w:lang w:val="en-GB" w:eastAsia="en-GB"/>
      </w:rPr>
      <w:drawing>
        <wp:inline distT="0" distB="0" distL="0" distR="0" wp14:anchorId="26DE55BD" wp14:editId="3A8C0050">
          <wp:extent cx="5670550" cy="3060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_rgb-sign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0550" cy="306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50"/>
    <w:multiLevelType w:val="hybridMultilevel"/>
    <w:tmpl w:val="CA6C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3A59"/>
    <w:multiLevelType w:val="hybridMultilevel"/>
    <w:tmpl w:val="70BC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8072C"/>
    <w:multiLevelType w:val="hybridMultilevel"/>
    <w:tmpl w:val="9744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24F57"/>
    <w:multiLevelType w:val="hybridMultilevel"/>
    <w:tmpl w:val="FCD03F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C01B2C"/>
    <w:multiLevelType w:val="hybridMultilevel"/>
    <w:tmpl w:val="3D6E1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3F0D8C"/>
    <w:multiLevelType w:val="hybridMultilevel"/>
    <w:tmpl w:val="26561E8A"/>
    <w:lvl w:ilvl="0" w:tplc="F05445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453E5"/>
    <w:multiLevelType w:val="hybridMultilevel"/>
    <w:tmpl w:val="7BCC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24246"/>
    <w:multiLevelType w:val="hybridMultilevel"/>
    <w:tmpl w:val="88C8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F6DFF"/>
    <w:multiLevelType w:val="hybridMultilevel"/>
    <w:tmpl w:val="5A7C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32"/>
    <w:rsid w:val="00013E10"/>
    <w:rsid w:val="000234B8"/>
    <w:rsid w:val="000262D6"/>
    <w:rsid w:val="00033B60"/>
    <w:rsid w:val="0003769F"/>
    <w:rsid w:val="00037B14"/>
    <w:rsid w:val="000A6F53"/>
    <w:rsid w:val="000B3652"/>
    <w:rsid w:val="000B4077"/>
    <w:rsid w:val="000D2925"/>
    <w:rsid w:val="00111561"/>
    <w:rsid w:val="00114B55"/>
    <w:rsid w:val="0013770B"/>
    <w:rsid w:val="001548DF"/>
    <w:rsid w:val="00166A29"/>
    <w:rsid w:val="00186577"/>
    <w:rsid w:val="001906AE"/>
    <w:rsid w:val="001A29A0"/>
    <w:rsid w:val="001F2B97"/>
    <w:rsid w:val="00202B04"/>
    <w:rsid w:val="00242074"/>
    <w:rsid w:val="00244B4C"/>
    <w:rsid w:val="0025596D"/>
    <w:rsid w:val="00270387"/>
    <w:rsid w:val="00292004"/>
    <w:rsid w:val="002A5F91"/>
    <w:rsid w:val="002C0FB3"/>
    <w:rsid w:val="002C1C53"/>
    <w:rsid w:val="002C2BC6"/>
    <w:rsid w:val="002D4BBE"/>
    <w:rsid w:val="002F007F"/>
    <w:rsid w:val="0030017C"/>
    <w:rsid w:val="00305FB5"/>
    <w:rsid w:val="00334917"/>
    <w:rsid w:val="003367B3"/>
    <w:rsid w:val="00343999"/>
    <w:rsid w:val="00344D41"/>
    <w:rsid w:val="00386B35"/>
    <w:rsid w:val="003A73E0"/>
    <w:rsid w:val="003B1E32"/>
    <w:rsid w:val="003C29B9"/>
    <w:rsid w:val="003C2BC9"/>
    <w:rsid w:val="003D57CA"/>
    <w:rsid w:val="003D61A8"/>
    <w:rsid w:val="004047F7"/>
    <w:rsid w:val="00434890"/>
    <w:rsid w:val="00436F3F"/>
    <w:rsid w:val="004475D4"/>
    <w:rsid w:val="00486098"/>
    <w:rsid w:val="004904AD"/>
    <w:rsid w:val="004A20D5"/>
    <w:rsid w:val="004B1C30"/>
    <w:rsid w:val="004B6328"/>
    <w:rsid w:val="004C47C8"/>
    <w:rsid w:val="004C7F76"/>
    <w:rsid w:val="004F52BA"/>
    <w:rsid w:val="00512219"/>
    <w:rsid w:val="00512BCA"/>
    <w:rsid w:val="0053314F"/>
    <w:rsid w:val="00540C33"/>
    <w:rsid w:val="00540D47"/>
    <w:rsid w:val="00557BC8"/>
    <w:rsid w:val="005644D4"/>
    <w:rsid w:val="0057390E"/>
    <w:rsid w:val="005A233B"/>
    <w:rsid w:val="005C34C8"/>
    <w:rsid w:val="005C6E67"/>
    <w:rsid w:val="00603D6D"/>
    <w:rsid w:val="00615175"/>
    <w:rsid w:val="00621A52"/>
    <w:rsid w:val="00630888"/>
    <w:rsid w:val="006547EE"/>
    <w:rsid w:val="00672B12"/>
    <w:rsid w:val="00673E13"/>
    <w:rsid w:val="006762D2"/>
    <w:rsid w:val="00677B83"/>
    <w:rsid w:val="006826BD"/>
    <w:rsid w:val="006827BF"/>
    <w:rsid w:val="00692B63"/>
    <w:rsid w:val="006A1986"/>
    <w:rsid w:val="006B2C6E"/>
    <w:rsid w:val="006D22B8"/>
    <w:rsid w:val="0071060A"/>
    <w:rsid w:val="0071368D"/>
    <w:rsid w:val="007164FB"/>
    <w:rsid w:val="007170E3"/>
    <w:rsid w:val="00722EF0"/>
    <w:rsid w:val="00754848"/>
    <w:rsid w:val="007770DD"/>
    <w:rsid w:val="007B4A91"/>
    <w:rsid w:val="007B538A"/>
    <w:rsid w:val="007D29F3"/>
    <w:rsid w:val="007F20A9"/>
    <w:rsid w:val="007F4993"/>
    <w:rsid w:val="008033F0"/>
    <w:rsid w:val="008042FA"/>
    <w:rsid w:val="00843B45"/>
    <w:rsid w:val="00855079"/>
    <w:rsid w:val="00860152"/>
    <w:rsid w:val="00894C2E"/>
    <w:rsid w:val="008A1E69"/>
    <w:rsid w:val="008E218B"/>
    <w:rsid w:val="008F2E24"/>
    <w:rsid w:val="00904413"/>
    <w:rsid w:val="0092069E"/>
    <w:rsid w:val="00932FCC"/>
    <w:rsid w:val="00934708"/>
    <w:rsid w:val="009729F2"/>
    <w:rsid w:val="009B1A98"/>
    <w:rsid w:val="009F1699"/>
    <w:rsid w:val="00A01F03"/>
    <w:rsid w:val="00A041B7"/>
    <w:rsid w:val="00A318F2"/>
    <w:rsid w:val="00A57509"/>
    <w:rsid w:val="00A76D99"/>
    <w:rsid w:val="00A8516A"/>
    <w:rsid w:val="00AB242C"/>
    <w:rsid w:val="00AB7C7D"/>
    <w:rsid w:val="00AC2C79"/>
    <w:rsid w:val="00AD0E43"/>
    <w:rsid w:val="00AE1223"/>
    <w:rsid w:val="00AF2C6F"/>
    <w:rsid w:val="00AF3C77"/>
    <w:rsid w:val="00AF5A64"/>
    <w:rsid w:val="00B00521"/>
    <w:rsid w:val="00B0062F"/>
    <w:rsid w:val="00B12822"/>
    <w:rsid w:val="00B31818"/>
    <w:rsid w:val="00B675F6"/>
    <w:rsid w:val="00B92B7A"/>
    <w:rsid w:val="00BA3002"/>
    <w:rsid w:val="00BB40CC"/>
    <w:rsid w:val="00BC3262"/>
    <w:rsid w:val="00BE73D1"/>
    <w:rsid w:val="00C20539"/>
    <w:rsid w:val="00C26701"/>
    <w:rsid w:val="00C6410D"/>
    <w:rsid w:val="00C922C5"/>
    <w:rsid w:val="00C941DC"/>
    <w:rsid w:val="00CA0BF5"/>
    <w:rsid w:val="00CB055B"/>
    <w:rsid w:val="00CB4EFD"/>
    <w:rsid w:val="00CE1186"/>
    <w:rsid w:val="00CE76C8"/>
    <w:rsid w:val="00D041E1"/>
    <w:rsid w:val="00D27F87"/>
    <w:rsid w:val="00D339BB"/>
    <w:rsid w:val="00D44657"/>
    <w:rsid w:val="00D461A8"/>
    <w:rsid w:val="00D51254"/>
    <w:rsid w:val="00D52AB0"/>
    <w:rsid w:val="00D7123F"/>
    <w:rsid w:val="00D72AA9"/>
    <w:rsid w:val="00D86A2A"/>
    <w:rsid w:val="00DA5110"/>
    <w:rsid w:val="00DA71B6"/>
    <w:rsid w:val="00DB1E6B"/>
    <w:rsid w:val="00DB208E"/>
    <w:rsid w:val="00DB6215"/>
    <w:rsid w:val="00DC05DF"/>
    <w:rsid w:val="00DC069A"/>
    <w:rsid w:val="00DC6CA1"/>
    <w:rsid w:val="00DD3253"/>
    <w:rsid w:val="00DE048A"/>
    <w:rsid w:val="00DF49A5"/>
    <w:rsid w:val="00E15430"/>
    <w:rsid w:val="00E30DE8"/>
    <w:rsid w:val="00E36885"/>
    <w:rsid w:val="00E601FD"/>
    <w:rsid w:val="00E64040"/>
    <w:rsid w:val="00E85B1F"/>
    <w:rsid w:val="00EA052D"/>
    <w:rsid w:val="00EB2A65"/>
    <w:rsid w:val="00EB3EC7"/>
    <w:rsid w:val="00EC14F2"/>
    <w:rsid w:val="00EC6512"/>
    <w:rsid w:val="00ED31ED"/>
    <w:rsid w:val="00EE0D90"/>
    <w:rsid w:val="00F10F80"/>
    <w:rsid w:val="00F13FCD"/>
    <w:rsid w:val="00F9300C"/>
    <w:rsid w:val="00F96A32"/>
    <w:rsid w:val="00FA75FC"/>
    <w:rsid w:val="00FC044A"/>
    <w:rsid w:val="00FC6A23"/>
    <w:rsid w:val="00FD494A"/>
    <w:rsid w:val="00FD6F7C"/>
    <w:rsid w:val="00FF1216"/>
    <w:rsid w:val="00FF19FD"/>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3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7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9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3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73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75F6"/>
    <w:pPr>
      <w:ind w:left="720"/>
      <w:contextualSpacing/>
    </w:pPr>
  </w:style>
  <w:style w:type="character" w:customStyle="1" w:styleId="Heading3Char">
    <w:name w:val="Heading 3 Char"/>
    <w:basedOn w:val="DefaultParagraphFont"/>
    <w:link w:val="Heading3"/>
    <w:uiPriority w:val="9"/>
    <w:rsid w:val="00FF19F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16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4FB"/>
  </w:style>
  <w:style w:type="paragraph" w:styleId="Footer">
    <w:name w:val="footer"/>
    <w:basedOn w:val="Normal"/>
    <w:link w:val="FooterChar"/>
    <w:uiPriority w:val="99"/>
    <w:unhideWhenUsed/>
    <w:rsid w:val="00716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4FB"/>
  </w:style>
  <w:style w:type="character" w:styleId="CommentReference">
    <w:name w:val="annotation reference"/>
    <w:basedOn w:val="DefaultParagraphFont"/>
    <w:uiPriority w:val="99"/>
    <w:semiHidden/>
    <w:unhideWhenUsed/>
    <w:rsid w:val="00BC3262"/>
    <w:rPr>
      <w:sz w:val="16"/>
      <w:szCs w:val="16"/>
    </w:rPr>
  </w:style>
  <w:style w:type="paragraph" w:styleId="CommentText">
    <w:name w:val="annotation text"/>
    <w:basedOn w:val="Normal"/>
    <w:link w:val="CommentTextChar"/>
    <w:uiPriority w:val="99"/>
    <w:semiHidden/>
    <w:unhideWhenUsed/>
    <w:rsid w:val="00BC3262"/>
    <w:pPr>
      <w:spacing w:line="240" w:lineRule="auto"/>
    </w:pPr>
    <w:rPr>
      <w:sz w:val="20"/>
      <w:szCs w:val="20"/>
    </w:rPr>
  </w:style>
  <w:style w:type="character" w:customStyle="1" w:styleId="CommentTextChar">
    <w:name w:val="Comment Text Char"/>
    <w:basedOn w:val="DefaultParagraphFont"/>
    <w:link w:val="CommentText"/>
    <w:uiPriority w:val="99"/>
    <w:semiHidden/>
    <w:rsid w:val="00BC3262"/>
    <w:rPr>
      <w:sz w:val="20"/>
      <w:szCs w:val="20"/>
    </w:rPr>
  </w:style>
  <w:style w:type="paragraph" w:styleId="CommentSubject">
    <w:name w:val="annotation subject"/>
    <w:basedOn w:val="CommentText"/>
    <w:next w:val="CommentText"/>
    <w:link w:val="CommentSubjectChar"/>
    <w:uiPriority w:val="99"/>
    <w:semiHidden/>
    <w:unhideWhenUsed/>
    <w:rsid w:val="00BC3262"/>
    <w:rPr>
      <w:b/>
      <w:bCs/>
    </w:rPr>
  </w:style>
  <w:style w:type="character" w:customStyle="1" w:styleId="CommentSubjectChar">
    <w:name w:val="Comment Subject Char"/>
    <w:basedOn w:val="CommentTextChar"/>
    <w:link w:val="CommentSubject"/>
    <w:uiPriority w:val="99"/>
    <w:semiHidden/>
    <w:rsid w:val="00BC3262"/>
    <w:rPr>
      <w:b/>
      <w:bCs/>
      <w:sz w:val="20"/>
      <w:szCs w:val="20"/>
    </w:rPr>
  </w:style>
  <w:style w:type="paragraph" w:styleId="BalloonText">
    <w:name w:val="Balloon Text"/>
    <w:basedOn w:val="Normal"/>
    <w:link w:val="BalloonTextChar"/>
    <w:uiPriority w:val="99"/>
    <w:semiHidden/>
    <w:unhideWhenUsed/>
    <w:rsid w:val="00BC3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62"/>
    <w:rPr>
      <w:rFonts w:ascii="Segoe UI" w:hAnsi="Segoe UI" w:cs="Segoe UI"/>
      <w:sz w:val="18"/>
      <w:szCs w:val="18"/>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 Char,C,Footnote TextCSR,fn,Footnote"/>
    <w:basedOn w:val="Normal"/>
    <w:link w:val="FootnoteTextChar"/>
    <w:uiPriority w:val="99"/>
    <w:unhideWhenUsed/>
    <w:qFormat/>
    <w:rsid w:val="00692B63"/>
    <w:pPr>
      <w:spacing w:after="0" w:line="240" w:lineRule="auto"/>
      <w:ind w:left="284"/>
    </w:pPr>
    <w:rPr>
      <w:rFonts w:eastAsiaTheme="minorEastAsia"/>
      <w:sz w:val="20"/>
      <w:szCs w:val="20"/>
      <w:lang w:val="en-GB"/>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C Char,fn Char"/>
    <w:basedOn w:val="DefaultParagraphFont"/>
    <w:link w:val="FootnoteText"/>
    <w:uiPriority w:val="99"/>
    <w:rsid w:val="00692B63"/>
    <w:rPr>
      <w:rFonts w:eastAsiaTheme="minorEastAsia"/>
      <w:sz w:val="20"/>
      <w:szCs w:val="20"/>
      <w:lang w:val="en-GB"/>
    </w:rPr>
  </w:style>
  <w:style w:type="character" w:styleId="FootnoteReference">
    <w:name w:val="footnote reference"/>
    <w:aliases w:val="Footnote Refernece,&amp;voetnoot referentie,&amp; voetnoot referentie,4_G,callout,Footnotes refss,Footnote Reference Superscript,Footnote Reference Number,Fußnotenzeichen_Raxen,Ref,de nota al pie,Footnote Refernece + (Latein) Arial,10 pt,Blau"/>
    <w:basedOn w:val="DefaultParagraphFont"/>
    <w:link w:val="FootnoteReferneceCarcter"/>
    <w:uiPriority w:val="99"/>
    <w:unhideWhenUsed/>
    <w:qFormat/>
    <w:rsid w:val="00692B63"/>
    <w:rPr>
      <w:vertAlign w:val="superscript"/>
    </w:rPr>
  </w:style>
  <w:style w:type="paragraph" w:customStyle="1" w:styleId="FootnoteReferneceCarcter">
    <w:name w:val="Footnote Refernece Carácter"/>
    <w:aliases w:val="ftref Carácter,4_G Carácter"/>
    <w:basedOn w:val="Normal"/>
    <w:link w:val="FootnoteReference"/>
    <w:uiPriority w:val="99"/>
    <w:rsid w:val="00692B63"/>
    <w:pPr>
      <w:spacing w:line="240" w:lineRule="exact"/>
      <w:jc w:val="both"/>
    </w:pPr>
    <w:rPr>
      <w:vertAlign w:val="superscript"/>
    </w:rPr>
  </w:style>
  <w:style w:type="table" w:styleId="TableGrid">
    <w:name w:val="Table Grid"/>
    <w:basedOn w:val="TableNormal"/>
    <w:uiPriority w:val="39"/>
    <w:rsid w:val="00DD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215"/>
    <w:pPr>
      <w:spacing w:after="0" w:line="240" w:lineRule="auto"/>
    </w:pPr>
  </w:style>
  <w:style w:type="paragraph" w:styleId="Title">
    <w:name w:val="Title"/>
    <w:basedOn w:val="Normal"/>
    <w:next w:val="Normal"/>
    <w:link w:val="TitleChar"/>
    <w:uiPriority w:val="10"/>
    <w:qFormat/>
    <w:rsid w:val="006D22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B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A1E69"/>
    <w:rPr>
      <w:color w:val="0563C1" w:themeColor="hyperlink"/>
      <w:u w:val="single"/>
    </w:rPr>
  </w:style>
  <w:style w:type="paragraph" w:customStyle="1" w:styleId="Default">
    <w:name w:val="Default"/>
    <w:rsid w:val="00AB7C7D"/>
    <w:pPr>
      <w:autoSpaceDE w:val="0"/>
      <w:autoSpaceDN w:val="0"/>
      <w:adjustRightInd w:val="0"/>
      <w:spacing w:after="0" w:line="240" w:lineRule="auto"/>
    </w:pPr>
    <w:rPr>
      <w:rFonts w:ascii="MVIJTP+DaxlineOffcPro-Bold" w:hAnsi="MVIJTP+DaxlineOffcPro-Bold" w:cs="MVIJTP+DaxlineOffcPro-Bold"/>
      <w:color w:val="000000"/>
      <w:sz w:val="24"/>
      <w:szCs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fra.europa.eu/en/publication/2018/independent-living-rea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CEE338-4FBC-4897-AFE3-DC996671BBA7}" type="doc">
      <dgm:prSet loTypeId="urn:microsoft.com/office/officeart/2005/8/layout/hProcess9" loCatId="process" qsTypeId="urn:microsoft.com/office/officeart/2005/8/quickstyle/simple1" qsCatId="simple" csTypeId="urn:microsoft.com/office/officeart/2005/8/colors/accent1_2" csCatId="accent1" phldr="1"/>
      <dgm:spPr/>
    </dgm:pt>
    <dgm:pt modelId="{FF55EE2C-BCAA-46FE-B3E4-0E1D8D03789B}">
      <dgm:prSet phldrT="[Text]" custT="1"/>
      <dgm:spPr/>
      <dgm:t>
        <a:bodyPr/>
        <a:lstStyle/>
        <a:p>
          <a:r>
            <a:rPr lang="en-GB" sz="1300"/>
            <a:t>The first win</a:t>
          </a:r>
        </a:p>
      </dgm:t>
    </dgm:pt>
    <dgm:pt modelId="{54478698-047B-4B69-97E9-5A52F4A65C31}" type="parTrans" cxnId="{90DF55BB-F777-4FF3-8B19-69CDC60D920F}">
      <dgm:prSet/>
      <dgm:spPr/>
      <dgm:t>
        <a:bodyPr/>
        <a:lstStyle/>
        <a:p>
          <a:endParaRPr lang="en-GB"/>
        </a:p>
      </dgm:t>
    </dgm:pt>
    <dgm:pt modelId="{6CEFE030-418A-486E-8D49-D83764138347}" type="sibTrans" cxnId="{90DF55BB-F777-4FF3-8B19-69CDC60D920F}">
      <dgm:prSet/>
      <dgm:spPr/>
      <dgm:t>
        <a:bodyPr/>
        <a:lstStyle/>
        <a:p>
          <a:endParaRPr lang="en-GB"/>
        </a:p>
      </dgm:t>
    </dgm:pt>
    <dgm:pt modelId="{65FC4DCA-F0F3-474E-860B-5C58F33883FF}">
      <dgm:prSet phldrT="[Text]" custT="1"/>
      <dgm:spPr/>
      <dgm:t>
        <a:bodyPr/>
        <a:lstStyle/>
        <a:p>
          <a:r>
            <a:rPr lang="en-GB" sz="1300"/>
            <a:t>The tipping point</a:t>
          </a:r>
        </a:p>
      </dgm:t>
    </dgm:pt>
    <dgm:pt modelId="{0F9F4D85-8EFD-4BAB-A185-7A1EC07334CB}" type="parTrans" cxnId="{C5746509-5E0C-4BE8-9D4F-794684EA4780}">
      <dgm:prSet/>
      <dgm:spPr/>
      <dgm:t>
        <a:bodyPr/>
        <a:lstStyle/>
        <a:p>
          <a:endParaRPr lang="en-GB"/>
        </a:p>
      </dgm:t>
    </dgm:pt>
    <dgm:pt modelId="{6127D525-83DD-4546-9B6D-3773CE5B9C2C}" type="sibTrans" cxnId="{C5746509-5E0C-4BE8-9D4F-794684EA4780}">
      <dgm:prSet/>
      <dgm:spPr/>
      <dgm:t>
        <a:bodyPr/>
        <a:lstStyle/>
        <a:p>
          <a:endParaRPr lang="en-GB"/>
        </a:p>
      </dgm:t>
    </dgm:pt>
    <dgm:pt modelId="{8D57C6B4-F6C5-4F3D-B5ED-54EA736AA390}">
      <dgm:prSet custT="1"/>
      <dgm:spPr/>
      <dgm:t>
        <a:bodyPr/>
        <a:lstStyle/>
        <a:p>
          <a:r>
            <a:rPr lang="en-GB" sz="1300"/>
            <a:t>The hump</a:t>
          </a:r>
        </a:p>
      </dgm:t>
    </dgm:pt>
    <dgm:pt modelId="{0F20BEB0-AE96-4C57-86A2-5AEE133AE5D1}" type="parTrans" cxnId="{D8D1941D-856C-4A46-AEA4-708AE205D5D1}">
      <dgm:prSet/>
      <dgm:spPr/>
      <dgm:t>
        <a:bodyPr/>
        <a:lstStyle/>
        <a:p>
          <a:endParaRPr lang="en-GB"/>
        </a:p>
      </dgm:t>
    </dgm:pt>
    <dgm:pt modelId="{B51FA8E3-39E1-4008-8104-27F2AE7472C1}" type="sibTrans" cxnId="{D8D1941D-856C-4A46-AEA4-708AE205D5D1}">
      <dgm:prSet/>
      <dgm:spPr/>
      <dgm:t>
        <a:bodyPr/>
        <a:lstStyle/>
        <a:p>
          <a:endParaRPr lang="en-GB"/>
        </a:p>
      </dgm:t>
    </dgm:pt>
    <dgm:pt modelId="{679CF1D3-6562-4512-AEF4-66949050D1DF}">
      <dgm:prSet custT="1"/>
      <dgm:spPr/>
      <dgm:t>
        <a:bodyPr/>
        <a:lstStyle/>
        <a:p>
          <a:r>
            <a:rPr lang="en-GB" sz="1300"/>
            <a:t>The second wave</a:t>
          </a:r>
        </a:p>
      </dgm:t>
    </dgm:pt>
    <dgm:pt modelId="{DD590350-B468-43DA-BC94-54218F4C7708}" type="parTrans" cxnId="{70469EEB-7EDF-462E-959D-8AFF3C8EF78A}">
      <dgm:prSet/>
      <dgm:spPr/>
      <dgm:t>
        <a:bodyPr/>
        <a:lstStyle/>
        <a:p>
          <a:endParaRPr lang="en-GB"/>
        </a:p>
      </dgm:t>
    </dgm:pt>
    <dgm:pt modelId="{F7132D50-D466-4558-A098-FD9BB015D52A}" type="sibTrans" cxnId="{70469EEB-7EDF-462E-959D-8AFF3C8EF78A}">
      <dgm:prSet/>
      <dgm:spPr/>
      <dgm:t>
        <a:bodyPr/>
        <a:lstStyle/>
        <a:p>
          <a:endParaRPr lang="en-GB"/>
        </a:p>
      </dgm:t>
    </dgm:pt>
    <dgm:pt modelId="{99707137-4D30-4B59-8598-DB65BD832FCA}" type="pres">
      <dgm:prSet presAssocID="{97CEE338-4FBC-4897-AFE3-DC996671BBA7}" presName="CompostProcess" presStyleCnt="0">
        <dgm:presLayoutVars>
          <dgm:dir/>
          <dgm:resizeHandles val="exact"/>
        </dgm:presLayoutVars>
      </dgm:prSet>
      <dgm:spPr/>
    </dgm:pt>
    <dgm:pt modelId="{DD5A914F-AD87-43A7-AF84-0B4CFC5DA090}" type="pres">
      <dgm:prSet presAssocID="{97CEE338-4FBC-4897-AFE3-DC996671BBA7}" presName="arrow" presStyleLbl="bgShp" presStyleIdx="0" presStyleCnt="1"/>
      <dgm:spPr/>
    </dgm:pt>
    <dgm:pt modelId="{4338CC52-4956-4B64-B0E2-9D96B3B8DDA3}" type="pres">
      <dgm:prSet presAssocID="{97CEE338-4FBC-4897-AFE3-DC996671BBA7}" presName="linearProcess" presStyleCnt="0"/>
      <dgm:spPr/>
    </dgm:pt>
    <dgm:pt modelId="{29089525-6B70-4CA2-83D0-AA9C5B22428F}" type="pres">
      <dgm:prSet presAssocID="{FF55EE2C-BCAA-46FE-B3E4-0E1D8D03789B}" presName="textNode" presStyleLbl="node1" presStyleIdx="0" presStyleCnt="4" custScaleX="64260" custScaleY="55648">
        <dgm:presLayoutVars>
          <dgm:bulletEnabled val="1"/>
        </dgm:presLayoutVars>
      </dgm:prSet>
      <dgm:spPr/>
      <dgm:t>
        <a:bodyPr/>
        <a:lstStyle/>
        <a:p>
          <a:endParaRPr lang="en-GB"/>
        </a:p>
      </dgm:t>
    </dgm:pt>
    <dgm:pt modelId="{2EE437D3-CAC8-46EE-9AD6-5817B2F99476}" type="pres">
      <dgm:prSet presAssocID="{6CEFE030-418A-486E-8D49-D83764138347}" presName="sibTrans" presStyleCnt="0"/>
      <dgm:spPr/>
    </dgm:pt>
    <dgm:pt modelId="{306C8CAF-E803-4F46-9DF5-912530341D7A}" type="pres">
      <dgm:prSet presAssocID="{65FC4DCA-F0F3-474E-860B-5C58F33883FF}" presName="textNode" presStyleLbl="node1" presStyleIdx="1" presStyleCnt="4" custScaleX="64260" custScaleY="55648">
        <dgm:presLayoutVars>
          <dgm:bulletEnabled val="1"/>
        </dgm:presLayoutVars>
      </dgm:prSet>
      <dgm:spPr/>
      <dgm:t>
        <a:bodyPr/>
        <a:lstStyle/>
        <a:p>
          <a:endParaRPr lang="en-GB"/>
        </a:p>
      </dgm:t>
    </dgm:pt>
    <dgm:pt modelId="{FCFF8819-33D2-4442-BC56-608CF61772D1}" type="pres">
      <dgm:prSet presAssocID="{6127D525-83DD-4546-9B6D-3773CE5B9C2C}" presName="sibTrans" presStyleCnt="0"/>
      <dgm:spPr/>
    </dgm:pt>
    <dgm:pt modelId="{18CBEFE6-883D-4696-B5CA-5381D88F3F95}" type="pres">
      <dgm:prSet presAssocID="{8D57C6B4-F6C5-4F3D-B5ED-54EA736AA390}" presName="textNode" presStyleLbl="node1" presStyleIdx="2" presStyleCnt="4" custScaleX="64260" custScaleY="55648">
        <dgm:presLayoutVars>
          <dgm:bulletEnabled val="1"/>
        </dgm:presLayoutVars>
      </dgm:prSet>
      <dgm:spPr/>
      <dgm:t>
        <a:bodyPr/>
        <a:lstStyle/>
        <a:p>
          <a:endParaRPr lang="en-GB"/>
        </a:p>
      </dgm:t>
    </dgm:pt>
    <dgm:pt modelId="{F7AD9CAD-795E-4847-96E4-6FD7549C3275}" type="pres">
      <dgm:prSet presAssocID="{B51FA8E3-39E1-4008-8104-27F2AE7472C1}" presName="sibTrans" presStyleCnt="0"/>
      <dgm:spPr/>
    </dgm:pt>
    <dgm:pt modelId="{FA93F7BE-1555-451E-BCB8-73BC2E56FD25}" type="pres">
      <dgm:prSet presAssocID="{679CF1D3-6562-4512-AEF4-66949050D1DF}" presName="textNode" presStyleLbl="node1" presStyleIdx="3" presStyleCnt="4" custScaleX="64260" custScaleY="55648">
        <dgm:presLayoutVars>
          <dgm:bulletEnabled val="1"/>
        </dgm:presLayoutVars>
      </dgm:prSet>
      <dgm:spPr/>
      <dgm:t>
        <a:bodyPr/>
        <a:lstStyle/>
        <a:p>
          <a:endParaRPr lang="en-GB"/>
        </a:p>
      </dgm:t>
    </dgm:pt>
  </dgm:ptLst>
  <dgm:cxnLst>
    <dgm:cxn modelId="{D8D1941D-856C-4A46-AEA4-708AE205D5D1}" srcId="{97CEE338-4FBC-4897-AFE3-DC996671BBA7}" destId="{8D57C6B4-F6C5-4F3D-B5ED-54EA736AA390}" srcOrd="2" destOrd="0" parTransId="{0F20BEB0-AE96-4C57-86A2-5AEE133AE5D1}" sibTransId="{B51FA8E3-39E1-4008-8104-27F2AE7472C1}"/>
    <dgm:cxn modelId="{90DF55BB-F777-4FF3-8B19-69CDC60D920F}" srcId="{97CEE338-4FBC-4897-AFE3-DC996671BBA7}" destId="{FF55EE2C-BCAA-46FE-B3E4-0E1D8D03789B}" srcOrd="0" destOrd="0" parTransId="{54478698-047B-4B69-97E9-5A52F4A65C31}" sibTransId="{6CEFE030-418A-486E-8D49-D83764138347}"/>
    <dgm:cxn modelId="{9C6D6886-6D67-452A-A24A-DB793D3F8CEF}" type="presOf" srcId="{65FC4DCA-F0F3-474E-860B-5C58F33883FF}" destId="{306C8CAF-E803-4F46-9DF5-912530341D7A}" srcOrd="0" destOrd="0" presId="urn:microsoft.com/office/officeart/2005/8/layout/hProcess9"/>
    <dgm:cxn modelId="{CB31286B-210D-4CC4-99CE-DF748C3AD643}" type="presOf" srcId="{8D57C6B4-F6C5-4F3D-B5ED-54EA736AA390}" destId="{18CBEFE6-883D-4696-B5CA-5381D88F3F95}" srcOrd="0" destOrd="0" presId="urn:microsoft.com/office/officeart/2005/8/layout/hProcess9"/>
    <dgm:cxn modelId="{6946444B-71BB-425F-96DF-CC8CCB86E06C}" type="presOf" srcId="{FF55EE2C-BCAA-46FE-B3E4-0E1D8D03789B}" destId="{29089525-6B70-4CA2-83D0-AA9C5B22428F}" srcOrd="0" destOrd="0" presId="urn:microsoft.com/office/officeart/2005/8/layout/hProcess9"/>
    <dgm:cxn modelId="{BB0FB05E-AED9-4E8F-B52D-1059E184F255}" type="presOf" srcId="{97CEE338-4FBC-4897-AFE3-DC996671BBA7}" destId="{99707137-4D30-4B59-8598-DB65BD832FCA}" srcOrd="0" destOrd="0" presId="urn:microsoft.com/office/officeart/2005/8/layout/hProcess9"/>
    <dgm:cxn modelId="{C5746509-5E0C-4BE8-9D4F-794684EA4780}" srcId="{97CEE338-4FBC-4897-AFE3-DC996671BBA7}" destId="{65FC4DCA-F0F3-474E-860B-5C58F33883FF}" srcOrd="1" destOrd="0" parTransId="{0F9F4D85-8EFD-4BAB-A185-7A1EC07334CB}" sibTransId="{6127D525-83DD-4546-9B6D-3773CE5B9C2C}"/>
    <dgm:cxn modelId="{70469EEB-7EDF-462E-959D-8AFF3C8EF78A}" srcId="{97CEE338-4FBC-4897-AFE3-DC996671BBA7}" destId="{679CF1D3-6562-4512-AEF4-66949050D1DF}" srcOrd="3" destOrd="0" parTransId="{DD590350-B468-43DA-BC94-54218F4C7708}" sibTransId="{F7132D50-D466-4558-A098-FD9BB015D52A}"/>
    <dgm:cxn modelId="{4E53BC39-7592-4A72-AB30-292797D171CC}" type="presOf" srcId="{679CF1D3-6562-4512-AEF4-66949050D1DF}" destId="{FA93F7BE-1555-451E-BCB8-73BC2E56FD25}" srcOrd="0" destOrd="0" presId="urn:microsoft.com/office/officeart/2005/8/layout/hProcess9"/>
    <dgm:cxn modelId="{33401374-421F-45B5-854A-F47A1E18DF41}" type="presParOf" srcId="{99707137-4D30-4B59-8598-DB65BD832FCA}" destId="{DD5A914F-AD87-43A7-AF84-0B4CFC5DA090}" srcOrd="0" destOrd="0" presId="urn:microsoft.com/office/officeart/2005/8/layout/hProcess9"/>
    <dgm:cxn modelId="{FEAE611B-496D-46E8-800A-71BAF9C443BB}" type="presParOf" srcId="{99707137-4D30-4B59-8598-DB65BD832FCA}" destId="{4338CC52-4956-4B64-B0E2-9D96B3B8DDA3}" srcOrd="1" destOrd="0" presId="urn:microsoft.com/office/officeart/2005/8/layout/hProcess9"/>
    <dgm:cxn modelId="{C6CD4A47-86E6-4F75-B413-E8DC0EA6E11E}" type="presParOf" srcId="{4338CC52-4956-4B64-B0E2-9D96B3B8DDA3}" destId="{29089525-6B70-4CA2-83D0-AA9C5B22428F}" srcOrd="0" destOrd="0" presId="urn:microsoft.com/office/officeart/2005/8/layout/hProcess9"/>
    <dgm:cxn modelId="{1DAA7E6F-B6CF-4621-8C7C-EF68E0CBDCEA}" type="presParOf" srcId="{4338CC52-4956-4B64-B0E2-9D96B3B8DDA3}" destId="{2EE437D3-CAC8-46EE-9AD6-5817B2F99476}" srcOrd="1" destOrd="0" presId="urn:microsoft.com/office/officeart/2005/8/layout/hProcess9"/>
    <dgm:cxn modelId="{48B919C6-1F82-4943-803F-1350E8E06CF2}" type="presParOf" srcId="{4338CC52-4956-4B64-B0E2-9D96B3B8DDA3}" destId="{306C8CAF-E803-4F46-9DF5-912530341D7A}" srcOrd="2" destOrd="0" presId="urn:microsoft.com/office/officeart/2005/8/layout/hProcess9"/>
    <dgm:cxn modelId="{65959CE1-6517-465B-AE91-FA47EE0C9A46}" type="presParOf" srcId="{4338CC52-4956-4B64-B0E2-9D96B3B8DDA3}" destId="{FCFF8819-33D2-4442-BC56-608CF61772D1}" srcOrd="3" destOrd="0" presId="urn:microsoft.com/office/officeart/2005/8/layout/hProcess9"/>
    <dgm:cxn modelId="{0F97BAEB-D6B7-4315-B557-0CBEF523FCB2}" type="presParOf" srcId="{4338CC52-4956-4B64-B0E2-9D96B3B8DDA3}" destId="{18CBEFE6-883D-4696-B5CA-5381D88F3F95}" srcOrd="4" destOrd="0" presId="urn:microsoft.com/office/officeart/2005/8/layout/hProcess9"/>
    <dgm:cxn modelId="{9AB0B42B-27DC-4F72-95D0-97D75A90A7D5}" type="presParOf" srcId="{4338CC52-4956-4B64-B0E2-9D96B3B8DDA3}" destId="{F7AD9CAD-795E-4847-96E4-6FD7549C3275}" srcOrd="5" destOrd="0" presId="urn:microsoft.com/office/officeart/2005/8/layout/hProcess9"/>
    <dgm:cxn modelId="{4FC2C790-464F-4B33-BC6E-1979303427DC}" type="presParOf" srcId="{4338CC52-4956-4B64-B0E2-9D96B3B8DDA3}" destId="{FA93F7BE-1555-451E-BCB8-73BC2E56FD25}" srcOrd="6"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5A914F-AD87-43A7-AF84-0B4CFC5DA090}">
      <dsp:nvSpPr>
        <dsp:cNvPr id="0" name=""/>
        <dsp:cNvSpPr/>
      </dsp:nvSpPr>
      <dsp:spPr>
        <a:xfrm>
          <a:off x="426631" y="0"/>
          <a:ext cx="4835156" cy="2509284"/>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9089525-6B70-4CA2-83D0-AA9C5B22428F}">
      <dsp:nvSpPr>
        <dsp:cNvPr id="0" name=""/>
        <dsp:cNvSpPr/>
      </dsp:nvSpPr>
      <dsp:spPr>
        <a:xfrm>
          <a:off x="224351" y="975368"/>
          <a:ext cx="1096613" cy="5585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The first win</a:t>
          </a:r>
        </a:p>
      </dsp:txBody>
      <dsp:txXfrm>
        <a:off x="251617" y="1002634"/>
        <a:ext cx="1042081" cy="504014"/>
      </dsp:txXfrm>
    </dsp:sp>
    <dsp:sp modelId="{306C8CAF-E803-4F46-9DF5-912530341D7A}">
      <dsp:nvSpPr>
        <dsp:cNvPr id="0" name=""/>
        <dsp:cNvSpPr/>
      </dsp:nvSpPr>
      <dsp:spPr>
        <a:xfrm>
          <a:off x="1605385" y="975368"/>
          <a:ext cx="1096613" cy="5585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The tipping point</a:t>
          </a:r>
        </a:p>
      </dsp:txBody>
      <dsp:txXfrm>
        <a:off x="1632651" y="1002634"/>
        <a:ext cx="1042081" cy="504014"/>
      </dsp:txXfrm>
    </dsp:sp>
    <dsp:sp modelId="{18CBEFE6-883D-4696-B5CA-5381D88F3F95}">
      <dsp:nvSpPr>
        <dsp:cNvPr id="0" name=""/>
        <dsp:cNvSpPr/>
      </dsp:nvSpPr>
      <dsp:spPr>
        <a:xfrm>
          <a:off x="2986419" y="975368"/>
          <a:ext cx="1096613" cy="5585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The hump</a:t>
          </a:r>
        </a:p>
      </dsp:txBody>
      <dsp:txXfrm>
        <a:off x="3013685" y="1002634"/>
        <a:ext cx="1042081" cy="504014"/>
      </dsp:txXfrm>
    </dsp:sp>
    <dsp:sp modelId="{FA93F7BE-1555-451E-BCB8-73BC2E56FD25}">
      <dsp:nvSpPr>
        <dsp:cNvPr id="0" name=""/>
        <dsp:cNvSpPr/>
      </dsp:nvSpPr>
      <dsp:spPr>
        <a:xfrm>
          <a:off x="4367454" y="975368"/>
          <a:ext cx="1096613" cy="5585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The second wave</a:t>
          </a:r>
        </a:p>
      </dsp:txBody>
      <dsp:txXfrm>
        <a:off x="4394720" y="1002634"/>
        <a:ext cx="1042081" cy="5040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DA5C3-89C0-44E2-9ACA-B933D45F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2020-01-21T12:03:00Z</dcterms:created>
  <dcterms:modified xsi:type="dcterms:W3CDTF">2020-01-21T12:03:00Z</dcterms:modified>
</cp:coreProperties>
</file>