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B4AC4" w14:textId="77777777" w:rsidR="00E54542" w:rsidRPr="00410205" w:rsidRDefault="00E54542" w:rsidP="00E54542">
      <w:pPr>
        <w:spacing w:after="0" w:line="240" w:lineRule="auto"/>
        <w:jc w:val="right"/>
        <w:rPr>
          <w:rFonts w:ascii="Arial Narrow" w:eastAsia="Calibri" w:hAnsi="Arial Narrow" w:cs="Times New Roman"/>
          <w:sz w:val="48"/>
          <w:szCs w:val="48"/>
          <w:lang w:val="en-IE" w:bidi="en-US"/>
        </w:rPr>
      </w:pPr>
      <w:bookmarkStart w:id="0" w:name="_GoBack"/>
      <w:bookmarkEnd w:id="0"/>
    </w:p>
    <w:p w14:paraId="12DB4AC5" w14:textId="44A9E277" w:rsidR="00E54542" w:rsidRPr="00410205" w:rsidRDefault="006475D5" w:rsidP="00E54542">
      <w:pPr>
        <w:spacing w:after="0" w:line="240" w:lineRule="auto"/>
        <w:jc w:val="right"/>
        <w:rPr>
          <w:rFonts w:ascii="Arial Narrow" w:eastAsia="Calibri" w:hAnsi="Arial Narrow" w:cs="Times New Roman"/>
          <w:sz w:val="48"/>
          <w:szCs w:val="48"/>
          <w:lang w:val="en-IE" w:bidi="en-US"/>
        </w:rPr>
      </w:pPr>
      <w:r w:rsidRPr="00410205">
        <w:rPr>
          <w:rFonts w:ascii="Arial Narrow" w:eastAsia="Calibri" w:hAnsi="Arial Narrow" w:cs="Times New Roman"/>
          <w:sz w:val="48"/>
          <w:szCs w:val="48"/>
          <w:lang w:val="en-IE" w:bidi="en-US"/>
        </w:rPr>
        <w:t>CY – Country information</w:t>
      </w:r>
    </w:p>
    <w:p w14:paraId="12DB4AC6" w14:textId="77777777" w:rsidR="00E54542" w:rsidRPr="00410205" w:rsidRDefault="00E54542" w:rsidP="00E54542">
      <w:pPr>
        <w:spacing w:after="0" w:line="240" w:lineRule="auto"/>
        <w:jc w:val="right"/>
        <w:rPr>
          <w:rFonts w:ascii="Arial Narrow" w:eastAsia="Calibri" w:hAnsi="Arial Narrow" w:cs="Times New Roman"/>
          <w:sz w:val="48"/>
          <w:szCs w:val="48"/>
          <w:lang w:val="en-IE" w:bidi="en-US"/>
        </w:rPr>
      </w:pPr>
    </w:p>
    <w:p w14:paraId="580D2A63" w14:textId="77777777" w:rsidR="004E38DF" w:rsidRPr="00410205" w:rsidRDefault="004E38DF" w:rsidP="00E54542">
      <w:pPr>
        <w:spacing w:after="0" w:line="240" w:lineRule="auto"/>
        <w:jc w:val="right"/>
        <w:rPr>
          <w:rFonts w:ascii="Arial Narrow" w:eastAsia="Calibri" w:hAnsi="Arial Narrow" w:cs="Times New Roman"/>
          <w:sz w:val="48"/>
          <w:szCs w:val="48"/>
          <w:lang w:val="en-IE" w:bidi="en-US"/>
        </w:rPr>
      </w:pPr>
    </w:p>
    <w:p w14:paraId="12DB4AC7" w14:textId="77777777" w:rsidR="00E54542" w:rsidRPr="00410205" w:rsidRDefault="00E54542" w:rsidP="00E54542">
      <w:pPr>
        <w:spacing w:after="0" w:line="240" w:lineRule="auto"/>
        <w:jc w:val="right"/>
        <w:rPr>
          <w:rFonts w:ascii="Arial Narrow" w:eastAsia="Calibri" w:hAnsi="Arial Narrow" w:cs="Times New Roman"/>
          <w:sz w:val="48"/>
          <w:szCs w:val="48"/>
          <w:lang w:val="en-IE" w:bidi="en-US"/>
        </w:rPr>
      </w:pPr>
      <w:r w:rsidRPr="00410205">
        <w:rPr>
          <w:rFonts w:ascii="Arial Narrow" w:eastAsia="Calibri" w:hAnsi="Arial Narrow" w:cs="Times New Roman"/>
          <w:sz w:val="48"/>
          <w:szCs w:val="48"/>
          <w:lang w:val="en-IE" w:bidi="en-US"/>
        </w:rPr>
        <w:t xml:space="preserve">Indicators on political participation </w:t>
      </w:r>
    </w:p>
    <w:p w14:paraId="12DB4AC8" w14:textId="77777777" w:rsidR="00E54542" w:rsidRPr="00410205" w:rsidRDefault="00E54542" w:rsidP="00E54542">
      <w:pPr>
        <w:spacing w:after="0" w:line="240" w:lineRule="auto"/>
        <w:jc w:val="right"/>
        <w:rPr>
          <w:rFonts w:ascii="Arial Narrow" w:eastAsia="Calibri" w:hAnsi="Arial Narrow" w:cs="Times New Roman"/>
          <w:sz w:val="48"/>
          <w:szCs w:val="48"/>
          <w:lang w:val="en-IE" w:bidi="en-US"/>
        </w:rPr>
      </w:pPr>
      <w:proofErr w:type="gramStart"/>
      <w:r w:rsidRPr="00410205">
        <w:rPr>
          <w:rFonts w:ascii="Arial Narrow" w:eastAsia="Calibri" w:hAnsi="Arial Narrow" w:cs="Times New Roman"/>
          <w:sz w:val="48"/>
          <w:szCs w:val="48"/>
          <w:lang w:val="en-IE" w:bidi="en-US"/>
        </w:rPr>
        <w:t>of</w:t>
      </w:r>
      <w:proofErr w:type="gramEnd"/>
      <w:r w:rsidRPr="00410205">
        <w:rPr>
          <w:rFonts w:ascii="Arial Narrow" w:eastAsia="Calibri" w:hAnsi="Arial Narrow" w:cs="Times New Roman"/>
          <w:sz w:val="48"/>
          <w:szCs w:val="48"/>
          <w:lang w:val="en-IE" w:bidi="en-US"/>
        </w:rPr>
        <w:t xml:space="preserve"> persons with disabilities</w:t>
      </w:r>
    </w:p>
    <w:p w14:paraId="08C433BE" w14:textId="77777777" w:rsidR="0088045D" w:rsidRPr="00410205" w:rsidRDefault="0088045D" w:rsidP="00E54542">
      <w:pPr>
        <w:spacing w:after="0" w:line="240" w:lineRule="auto"/>
        <w:jc w:val="right"/>
        <w:rPr>
          <w:rFonts w:ascii="Arial Narrow" w:eastAsia="Calibri" w:hAnsi="Arial Narrow" w:cs="Times New Roman"/>
          <w:sz w:val="48"/>
          <w:szCs w:val="48"/>
          <w:lang w:val="en-IE" w:bidi="en-US"/>
        </w:rPr>
      </w:pPr>
    </w:p>
    <w:p w14:paraId="6A01B25F" w14:textId="5E24E91C" w:rsidR="0088045D" w:rsidRPr="00410205" w:rsidRDefault="0088045D" w:rsidP="00E54542">
      <w:pPr>
        <w:spacing w:after="0" w:line="240" w:lineRule="auto"/>
        <w:jc w:val="right"/>
        <w:rPr>
          <w:rFonts w:ascii="Arial Narrow" w:eastAsia="Calibri" w:hAnsi="Arial Narrow" w:cs="Times New Roman"/>
          <w:sz w:val="48"/>
          <w:szCs w:val="48"/>
          <w:lang w:val="en-IE" w:bidi="en-US"/>
        </w:rPr>
      </w:pPr>
      <w:r w:rsidRPr="00410205">
        <w:rPr>
          <w:rFonts w:ascii="Arial Narrow" w:eastAsia="Calibri" w:hAnsi="Arial Narrow" w:cs="Times New Roman"/>
          <w:sz w:val="48"/>
          <w:szCs w:val="48"/>
          <w:lang w:val="en-IE" w:bidi="en-US"/>
        </w:rPr>
        <w:t>2014</w:t>
      </w:r>
    </w:p>
    <w:p w14:paraId="490FC803" w14:textId="77777777" w:rsidR="0088045D" w:rsidRPr="00410205" w:rsidRDefault="0088045D" w:rsidP="00E54542">
      <w:pPr>
        <w:spacing w:after="0" w:line="240" w:lineRule="auto"/>
        <w:jc w:val="right"/>
        <w:rPr>
          <w:rFonts w:ascii="Arial Narrow" w:eastAsia="Calibri" w:hAnsi="Arial Narrow" w:cs="Times New Roman"/>
          <w:sz w:val="48"/>
          <w:szCs w:val="48"/>
          <w:lang w:val="en-IE" w:bidi="en-US"/>
        </w:rPr>
      </w:pPr>
    </w:p>
    <w:p w14:paraId="731E4D6D" w14:textId="77777777" w:rsidR="0088045D" w:rsidRPr="00410205" w:rsidRDefault="0088045D" w:rsidP="0088045D">
      <w:pPr>
        <w:pStyle w:val="FRAHeading1"/>
        <w:rPr>
          <w:rFonts w:ascii="Verdana" w:hAnsi="Verdana"/>
          <w:sz w:val="20"/>
          <w:szCs w:val="20"/>
          <w:lang w:val="en-IE"/>
        </w:rPr>
      </w:pPr>
      <w:r w:rsidRPr="00410205">
        <w:rPr>
          <w:rFonts w:ascii="Verdana" w:hAnsi="Verdana"/>
          <w:sz w:val="20"/>
          <w:szCs w:val="20"/>
          <w:lang w:val="en-IE"/>
        </w:rPr>
        <w:t xml:space="preserve">DISCLAIMER: The background country information reports contain background material for the comparative report on </w:t>
      </w:r>
      <w:proofErr w:type="gramStart"/>
      <w:r w:rsidRPr="00410205">
        <w:rPr>
          <w:rFonts w:ascii="Verdana" w:hAnsi="Verdana"/>
          <w:i/>
          <w:iCs/>
          <w:sz w:val="20"/>
          <w:szCs w:val="20"/>
          <w:lang w:val="en-IE"/>
        </w:rPr>
        <w:t>The</w:t>
      </w:r>
      <w:proofErr w:type="gramEnd"/>
      <w:r w:rsidRPr="00410205">
        <w:rPr>
          <w:rFonts w:ascii="Verdana" w:hAnsi="Verdana"/>
          <w:i/>
          <w:iCs/>
          <w:sz w:val="20"/>
          <w:szCs w:val="20"/>
          <w:lang w:val="en-IE"/>
        </w:rPr>
        <w:t xml:space="preserve"> right to political participation for persons with disabilities: human rights indicators </w:t>
      </w:r>
      <w:r w:rsidRPr="00410205">
        <w:rPr>
          <w:rFonts w:ascii="Verdana" w:hAnsi="Verdana"/>
          <w:sz w:val="20"/>
          <w:szCs w:val="20"/>
          <w:lang w:val="en-IE"/>
        </w:rPr>
        <w:t>by the European Union Agency for Fundamental Rights (FRA). The bulk of the information in the background country information reports comes from ad hoc information reports prepared under contract by the FRA’s research network FRANET. The views expressed in the background country information reports do not necessarily reflect the views or the official position of the FRA. These reports are made publicly available for information purposes only and do not constitute legal advice or legal opinion.</w:t>
      </w:r>
    </w:p>
    <w:p w14:paraId="029F3109" w14:textId="77777777" w:rsidR="0088045D" w:rsidRPr="00410205" w:rsidRDefault="0088045D" w:rsidP="0088045D">
      <w:pPr>
        <w:rPr>
          <w:lang w:val="en-IE" w:bidi="en-US"/>
        </w:rPr>
      </w:pPr>
    </w:p>
    <w:p w14:paraId="3028DEFE" w14:textId="266B9231" w:rsidR="0088045D" w:rsidRPr="00410205" w:rsidRDefault="0088045D" w:rsidP="0088045D">
      <w:pPr>
        <w:rPr>
          <w:lang w:val="en-IE" w:bidi="en-US"/>
        </w:rPr>
      </w:pPr>
      <w:r w:rsidRPr="00410205">
        <w:rPr>
          <w:lang w:val="en-IE" w:bidi="en-US"/>
        </w:rPr>
        <w:t xml:space="preserve">FRANET contractor: First elements </w:t>
      </w:r>
      <w:proofErr w:type="spellStart"/>
      <w:r w:rsidRPr="00410205">
        <w:rPr>
          <w:lang w:val="en-IE" w:bidi="en-US"/>
        </w:rPr>
        <w:t>Euroconsultants</w:t>
      </w:r>
      <w:proofErr w:type="spellEnd"/>
      <w:r w:rsidRPr="00410205">
        <w:rPr>
          <w:lang w:val="en-IE" w:bidi="en-US"/>
        </w:rPr>
        <w:t>.</w:t>
      </w:r>
    </w:p>
    <w:p w14:paraId="7D790A0E" w14:textId="77777777" w:rsidR="0088045D" w:rsidRPr="00410205" w:rsidRDefault="0088045D" w:rsidP="00E54542">
      <w:pPr>
        <w:spacing w:after="0" w:line="240" w:lineRule="auto"/>
        <w:jc w:val="right"/>
        <w:rPr>
          <w:rFonts w:ascii="Arial Narrow" w:eastAsia="Calibri" w:hAnsi="Arial Narrow" w:cs="Times New Roman"/>
          <w:sz w:val="48"/>
          <w:szCs w:val="48"/>
          <w:lang w:val="en-IE" w:bidi="en-US"/>
        </w:rPr>
      </w:pPr>
    </w:p>
    <w:p w14:paraId="12DB4AC9" w14:textId="77777777" w:rsidR="00E54542" w:rsidRPr="00410205" w:rsidRDefault="00E54542" w:rsidP="00E54542">
      <w:pPr>
        <w:spacing w:after="0" w:line="240" w:lineRule="auto"/>
        <w:jc w:val="right"/>
        <w:rPr>
          <w:rFonts w:ascii="Arial Narrow" w:eastAsia="Calibri" w:hAnsi="Arial Narrow" w:cs="Times New Roman"/>
          <w:sz w:val="48"/>
          <w:szCs w:val="48"/>
          <w:lang w:val="en-IE" w:bidi="en-US"/>
        </w:rPr>
      </w:pPr>
    </w:p>
    <w:p w14:paraId="12DB4ACE" w14:textId="77777777" w:rsidR="00912C69" w:rsidRPr="00410205" w:rsidRDefault="005F45ED" w:rsidP="00B91DAC">
      <w:pPr>
        <w:numPr>
          <w:ilvl w:val="0"/>
          <w:numId w:val="6"/>
        </w:numPr>
        <w:spacing w:line="240" w:lineRule="auto"/>
        <w:ind w:left="567" w:hanging="567"/>
        <w:contextualSpacing/>
        <w:jc w:val="both"/>
        <w:rPr>
          <w:rFonts w:ascii="Verdana" w:eastAsia="Calibri" w:hAnsi="Verdana" w:cs="Times New Roman"/>
          <w:b/>
          <w:sz w:val="24"/>
          <w:szCs w:val="24"/>
          <w:lang w:val="en-IE"/>
        </w:rPr>
      </w:pPr>
      <w:r w:rsidRPr="00410205">
        <w:rPr>
          <w:rFonts w:ascii="Verdana" w:eastAsia="Calibri" w:hAnsi="Verdana" w:cs="Times New Roman"/>
          <w:b/>
          <w:sz w:val="24"/>
          <w:szCs w:val="24"/>
          <w:lang w:val="en-IE"/>
        </w:rPr>
        <w:t>STRUCTURE INDICATORS</w:t>
      </w:r>
    </w:p>
    <w:p w14:paraId="12DB4ACF" w14:textId="77777777" w:rsidR="00C95E57" w:rsidRPr="00410205" w:rsidRDefault="00C95E57" w:rsidP="006B7FC1">
      <w:pPr>
        <w:spacing w:line="240" w:lineRule="auto"/>
        <w:contextualSpacing/>
        <w:jc w:val="both"/>
        <w:rPr>
          <w:rFonts w:ascii="Times New Roman" w:eastAsia="Calibri" w:hAnsi="Times New Roman" w:cs="Times New Roman"/>
          <w:lang w:val="en-IE"/>
        </w:rPr>
      </w:pPr>
    </w:p>
    <w:tbl>
      <w:tblPr>
        <w:tblStyle w:val="TableGrid"/>
        <w:tblW w:w="4823" w:type="pct"/>
        <w:tblLook w:val="04A0" w:firstRow="1" w:lastRow="0" w:firstColumn="1" w:lastColumn="0" w:noHBand="0" w:noVBand="1"/>
      </w:tblPr>
      <w:tblGrid>
        <w:gridCol w:w="4315"/>
        <w:gridCol w:w="9357"/>
      </w:tblGrid>
      <w:tr w:rsidR="00382023" w:rsidRPr="00410205" w14:paraId="12DB4AD5" w14:textId="77777777" w:rsidTr="00382023">
        <w:trPr>
          <w:trHeight w:val="454"/>
        </w:trPr>
        <w:tc>
          <w:tcPr>
            <w:tcW w:w="1578" w:type="pct"/>
            <w:shd w:val="clear" w:color="auto" w:fill="C6D9F1" w:themeFill="text2" w:themeFillTint="33"/>
            <w:vAlign w:val="center"/>
          </w:tcPr>
          <w:p w14:paraId="12DB4AD1" w14:textId="77777777" w:rsidR="00382023" w:rsidRPr="00410205" w:rsidRDefault="00382023" w:rsidP="007A4C35">
            <w:pPr>
              <w:spacing w:before="240"/>
              <w:contextualSpacing/>
              <w:rPr>
                <w:rFonts w:ascii="Verdana" w:eastAsia="Calibri" w:hAnsi="Verdana" w:cs="Times New Roman"/>
                <w:b/>
                <w:sz w:val="20"/>
                <w:szCs w:val="20"/>
                <w:lang w:val="en-IE"/>
              </w:rPr>
            </w:pPr>
            <w:r w:rsidRPr="00410205">
              <w:rPr>
                <w:rFonts w:ascii="Verdana" w:eastAsia="Calibri" w:hAnsi="Verdana" w:cs="Times New Roman"/>
                <w:b/>
                <w:sz w:val="20"/>
                <w:szCs w:val="20"/>
                <w:lang w:val="en-IE"/>
              </w:rPr>
              <w:t>Structure indicators</w:t>
            </w:r>
          </w:p>
        </w:tc>
        <w:tc>
          <w:tcPr>
            <w:tcW w:w="3422" w:type="pct"/>
            <w:shd w:val="clear" w:color="auto" w:fill="C6D9F1" w:themeFill="text2" w:themeFillTint="33"/>
            <w:vAlign w:val="center"/>
          </w:tcPr>
          <w:p w14:paraId="12DB4AD4" w14:textId="77777777" w:rsidR="00382023" w:rsidRPr="00410205" w:rsidRDefault="00382023" w:rsidP="007A4C35">
            <w:pPr>
              <w:spacing w:before="240"/>
              <w:contextualSpacing/>
              <w:rPr>
                <w:rFonts w:ascii="Verdana" w:eastAsia="Calibri" w:hAnsi="Verdana" w:cs="Times New Roman"/>
                <w:b/>
                <w:sz w:val="20"/>
                <w:szCs w:val="20"/>
                <w:lang w:val="en-IE"/>
              </w:rPr>
            </w:pPr>
            <w:r w:rsidRPr="00410205">
              <w:rPr>
                <w:rFonts w:ascii="Verdana" w:eastAsia="Calibri" w:hAnsi="Verdana" w:cs="Times New Roman"/>
                <w:b/>
                <w:sz w:val="20"/>
                <w:szCs w:val="20"/>
                <w:lang w:val="en-IE"/>
              </w:rPr>
              <w:t>Source and supporting information</w:t>
            </w:r>
          </w:p>
        </w:tc>
      </w:tr>
      <w:tr w:rsidR="00382023" w:rsidRPr="00410205" w14:paraId="1628FB69" w14:textId="77777777" w:rsidTr="00382023">
        <w:trPr>
          <w:trHeight w:val="454"/>
        </w:trPr>
        <w:tc>
          <w:tcPr>
            <w:tcW w:w="1578" w:type="pct"/>
            <w:vAlign w:val="center"/>
          </w:tcPr>
          <w:p w14:paraId="1E15527D" w14:textId="6DA53939" w:rsidR="00382023" w:rsidRPr="00410205" w:rsidRDefault="00382023" w:rsidP="00544276">
            <w:pPr>
              <w:rPr>
                <w:rFonts w:ascii="Verdana" w:hAnsi="Verdana" w:cs="Times New Roman"/>
                <w:sz w:val="20"/>
                <w:szCs w:val="20"/>
                <w:lang w:val="en-IE"/>
              </w:rPr>
            </w:pPr>
            <w:r w:rsidRPr="00410205">
              <w:rPr>
                <w:rFonts w:ascii="Verdana" w:hAnsi="Verdana"/>
                <w:sz w:val="20"/>
                <w:szCs w:val="20"/>
                <w:lang w:val="en-IE"/>
              </w:rPr>
              <w:t>Has [country] ratified the CRPD without a reservation to Article 29? Please give details of any reservation.</w:t>
            </w:r>
          </w:p>
        </w:tc>
        <w:tc>
          <w:tcPr>
            <w:tcW w:w="3422" w:type="pct"/>
            <w:vAlign w:val="center"/>
          </w:tcPr>
          <w:p w14:paraId="7C59A557" w14:textId="5FFD0D90" w:rsidR="00382023" w:rsidRPr="00410205" w:rsidRDefault="00382023" w:rsidP="00A076A5">
            <w:pPr>
              <w:spacing w:before="240"/>
              <w:contextualSpacing/>
              <w:rPr>
                <w:rFonts w:ascii="Verdana" w:hAnsi="Verdana" w:cs="Times New Roman"/>
                <w:sz w:val="20"/>
                <w:szCs w:val="20"/>
                <w:lang w:val="en-IE"/>
              </w:rPr>
            </w:pPr>
            <w:r w:rsidRPr="00410205">
              <w:rPr>
                <w:rFonts w:ascii="Verdana" w:hAnsi="Verdana"/>
                <w:sz w:val="20"/>
                <w:szCs w:val="20"/>
                <w:lang w:val="en-IE"/>
              </w:rPr>
              <w:t>27 Jun 2011</w:t>
            </w:r>
            <w:r w:rsidRPr="00410205">
              <w:rPr>
                <w:rStyle w:val="FootnoteReference"/>
                <w:rFonts w:ascii="Verdana" w:hAnsi="Verdana"/>
                <w:sz w:val="20"/>
                <w:szCs w:val="20"/>
                <w:lang w:val="en-IE"/>
              </w:rPr>
              <w:footnoteReference w:id="1"/>
            </w:r>
          </w:p>
        </w:tc>
      </w:tr>
      <w:tr w:rsidR="00382023" w:rsidRPr="00410205" w14:paraId="1A6563D1" w14:textId="77777777" w:rsidTr="00382023">
        <w:trPr>
          <w:trHeight w:val="454"/>
        </w:trPr>
        <w:tc>
          <w:tcPr>
            <w:tcW w:w="1578" w:type="pct"/>
            <w:vAlign w:val="center"/>
          </w:tcPr>
          <w:p w14:paraId="32C4C8ED" w14:textId="3D72FDA3" w:rsidR="00382023" w:rsidRPr="00410205" w:rsidRDefault="00382023" w:rsidP="00544276">
            <w:pPr>
              <w:rPr>
                <w:rFonts w:ascii="Verdana" w:hAnsi="Verdana" w:cs="Times New Roman"/>
                <w:sz w:val="20"/>
                <w:szCs w:val="20"/>
                <w:lang w:val="en-IE"/>
              </w:rPr>
            </w:pPr>
            <w:r w:rsidRPr="00410205">
              <w:rPr>
                <w:rFonts w:ascii="Verdana" w:hAnsi="Verdana"/>
                <w:sz w:val="20"/>
                <w:szCs w:val="20"/>
                <w:lang w:val="en-IE"/>
              </w:rPr>
              <w:t>Has [country] ratified the CRPD without a reservation to Article 12? Please give details of any reservation.</w:t>
            </w:r>
          </w:p>
        </w:tc>
        <w:tc>
          <w:tcPr>
            <w:tcW w:w="3422" w:type="pct"/>
            <w:vAlign w:val="center"/>
          </w:tcPr>
          <w:p w14:paraId="1AE33B44" w14:textId="7625555B" w:rsidR="00382023" w:rsidRPr="00410205" w:rsidRDefault="00382023" w:rsidP="00A076A5">
            <w:pPr>
              <w:spacing w:before="240"/>
              <w:contextualSpacing/>
              <w:rPr>
                <w:rFonts w:ascii="Verdana" w:hAnsi="Verdana" w:cs="Times New Roman"/>
                <w:sz w:val="20"/>
                <w:szCs w:val="20"/>
                <w:lang w:val="en-IE"/>
              </w:rPr>
            </w:pPr>
            <w:r w:rsidRPr="00410205">
              <w:rPr>
                <w:rFonts w:ascii="Verdana" w:hAnsi="Verdana"/>
                <w:sz w:val="20"/>
                <w:szCs w:val="20"/>
                <w:lang w:val="en-IE"/>
              </w:rPr>
              <w:t>27 Jun 2011</w:t>
            </w:r>
            <w:r w:rsidRPr="00410205">
              <w:rPr>
                <w:rStyle w:val="FootnoteReference"/>
                <w:rFonts w:ascii="Verdana" w:hAnsi="Verdana"/>
                <w:sz w:val="20"/>
                <w:szCs w:val="20"/>
                <w:lang w:val="en-IE"/>
              </w:rPr>
              <w:footnoteReference w:id="2"/>
            </w:r>
          </w:p>
        </w:tc>
      </w:tr>
      <w:tr w:rsidR="00382023" w:rsidRPr="00410205" w14:paraId="59254717" w14:textId="77777777" w:rsidTr="00382023">
        <w:trPr>
          <w:trHeight w:val="454"/>
        </w:trPr>
        <w:tc>
          <w:tcPr>
            <w:tcW w:w="1578" w:type="pct"/>
            <w:vAlign w:val="center"/>
          </w:tcPr>
          <w:p w14:paraId="5C218741" w14:textId="64DF75A8" w:rsidR="00382023" w:rsidRPr="00410205" w:rsidRDefault="00382023" w:rsidP="00544276">
            <w:pPr>
              <w:rPr>
                <w:rFonts w:ascii="Verdana" w:hAnsi="Verdana" w:cs="Times New Roman"/>
                <w:sz w:val="20"/>
                <w:szCs w:val="20"/>
                <w:lang w:val="en-IE"/>
              </w:rPr>
            </w:pPr>
            <w:r w:rsidRPr="00410205">
              <w:rPr>
                <w:rFonts w:ascii="Verdana" w:hAnsi="Verdana"/>
                <w:sz w:val="20"/>
                <w:szCs w:val="20"/>
                <w:lang w:val="en-IE"/>
              </w:rPr>
              <w:t>Has [country] ratified the CRPD without a reservation to Article 9? Please give details of any reservation.</w:t>
            </w:r>
          </w:p>
        </w:tc>
        <w:tc>
          <w:tcPr>
            <w:tcW w:w="3422" w:type="pct"/>
            <w:vAlign w:val="center"/>
          </w:tcPr>
          <w:p w14:paraId="2569711E" w14:textId="22AE36A1" w:rsidR="00382023" w:rsidRPr="00410205" w:rsidRDefault="00382023" w:rsidP="00A076A5">
            <w:pPr>
              <w:spacing w:before="240"/>
              <w:contextualSpacing/>
              <w:rPr>
                <w:rFonts w:ascii="Verdana" w:hAnsi="Verdana" w:cs="Times New Roman"/>
                <w:sz w:val="20"/>
                <w:szCs w:val="20"/>
                <w:lang w:val="en-IE"/>
              </w:rPr>
            </w:pPr>
            <w:r w:rsidRPr="00410205">
              <w:rPr>
                <w:rFonts w:ascii="Verdana" w:hAnsi="Verdana"/>
                <w:sz w:val="20"/>
                <w:szCs w:val="20"/>
                <w:lang w:val="en-IE"/>
              </w:rPr>
              <w:t>27 Jun 2011</w:t>
            </w:r>
            <w:r w:rsidRPr="00410205">
              <w:rPr>
                <w:rStyle w:val="FootnoteReference"/>
                <w:rFonts w:ascii="Verdana" w:hAnsi="Verdana"/>
                <w:sz w:val="20"/>
                <w:szCs w:val="20"/>
                <w:lang w:val="en-IE"/>
              </w:rPr>
              <w:footnoteReference w:id="3"/>
            </w:r>
          </w:p>
        </w:tc>
      </w:tr>
      <w:tr w:rsidR="00382023" w:rsidRPr="00410205" w14:paraId="12DB4AE6" w14:textId="77777777" w:rsidTr="00382023">
        <w:trPr>
          <w:trHeight w:val="454"/>
        </w:trPr>
        <w:tc>
          <w:tcPr>
            <w:tcW w:w="1578" w:type="pct"/>
            <w:vAlign w:val="center"/>
          </w:tcPr>
          <w:p w14:paraId="12DB4AD7" w14:textId="77777777" w:rsidR="00382023" w:rsidRPr="00410205" w:rsidRDefault="00382023" w:rsidP="004E38DF">
            <w:pPr>
              <w:jc w:val="both"/>
              <w:rPr>
                <w:rFonts w:ascii="Verdana" w:hAnsi="Verdana" w:cs="Times New Roman"/>
                <w:sz w:val="20"/>
                <w:szCs w:val="20"/>
                <w:lang w:val="en-IE"/>
              </w:rPr>
            </w:pPr>
            <w:r w:rsidRPr="00410205">
              <w:rPr>
                <w:rFonts w:ascii="Verdana" w:hAnsi="Verdana" w:cs="Times New Roman"/>
                <w:sz w:val="20"/>
                <w:szCs w:val="20"/>
                <w:lang w:val="en-IE"/>
              </w:rPr>
              <w:t>Please indicate the legislation which applies to European Parliament and municipal elections in your country. Please highlight possible amendments in view of the 2014 European Parliament elections.</w:t>
            </w:r>
          </w:p>
          <w:p w14:paraId="12DB4AD8" w14:textId="77777777" w:rsidR="00382023" w:rsidRPr="00410205" w:rsidRDefault="00382023" w:rsidP="004E38DF">
            <w:pPr>
              <w:jc w:val="both"/>
              <w:rPr>
                <w:rFonts w:ascii="Verdana" w:hAnsi="Verdana" w:cs="Times New Roman"/>
                <w:sz w:val="20"/>
                <w:szCs w:val="20"/>
                <w:lang w:val="en-IE"/>
              </w:rPr>
            </w:pPr>
          </w:p>
          <w:p w14:paraId="12DB4AD9" w14:textId="77777777" w:rsidR="00382023" w:rsidRPr="00410205" w:rsidRDefault="00382023" w:rsidP="004E38DF">
            <w:pPr>
              <w:jc w:val="both"/>
              <w:rPr>
                <w:rFonts w:ascii="Verdana" w:hAnsi="Verdana" w:cs="Times New Roman"/>
                <w:sz w:val="20"/>
                <w:szCs w:val="20"/>
                <w:highlight w:val="lightGray"/>
                <w:lang w:val="en-IE"/>
              </w:rPr>
            </w:pPr>
            <w:r w:rsidRPr="00410205">
              <w:rPr>
                <w:rFonts w:ascii="Verdana" w:hAnsi="Verdana" w:cs="Times New Roman"/>
                <w:sz w:val="20"/>
                <w:szCs w:val="20"/>
                <w:lang w:val="en-IE"/>
              </w:rPr>
              <w:t xml:space="preserve">Does the same law apply for national, federal, local and regional elections, and </w:t>
            </w:r>
            <w:r w:rsidRPr="00410205">
              <w:rPr>
                <w:rFonts w:ascii="Verdana" w:hAnsi="Verdana" w:cs="Times New Roman"/>
                <w:sz w:val="20"/>
                <w:szCs w:val="20"/>
                <w:lang w:val="en-IE"/>
              </w:rPr>
              <w:lastRenderedPageBreak/>
              <w:t>referendums?</w:t>
            </w:r>
          </w:p>
        </w:tc>
        <w:tc>
          <w:tcPr>
            <w:tcW w:w="3422" w:type="pct"/>
            <w:vAlign w:val="center"/>
          </w:tcPr>
          <w:p w14:paraId="3D1F8D8C" w14:textId="77777777" w:rsidR="00382023" w:rsidRPr="00410205" w:rsidRDefault="00382023" w:rsidP="004E38DF">
            <w:pPr>
              <w:spacing w:before="240"/>
              <w:jc w:val="both"/>
              <w:rPr>
                <w:rFonts w:ascii="Verdana" w:hAnsi="Verdana" w:cs="Times New Roman"/>
                <w:sz w:val="20"/>
                <w:szCs w:val="20"/>
                <w:lang w:val="en-IE"/>
              </w:rPr>
            </w:pPr>
            <w:r w:rsidRPr="00410205">
              <w:rPr>
                <w:rFonts w:ascii="Verdana" w:hAnsi="Verdana" w:cs="Times New Roman"/>
                <w:sz w:val="20"/>
                <w:szCs w:val="20"/>
                <w:lang w:val="en-IE"/>
              </w:rPr>
              <w:lastRenderedPageBreak/>
              <w:t>-</w:t>
            </w:r>
            <w:r w:rsidRPr="00410205">
              <w:rPr>
                <w:rFonts w:ascii="Verdana" w:hAnsi="Verdana" w:cs="Times New Roman"/>
                <w:sz w:val="20"/>
                <w:szCs w:val="20"/>
                <w:u w:val="single"/>
                <w:lang w:val="en-IE"/>
              </w:rPr>
              <w:t>European Parliament</w:t>
            </w:r>
            <w:r w:rsidRPr="00410205">
              <w:rPr>
                <w:rFonts w:ascii="Verdana" w:hAnsi="Verdana" w:cs="Times New Roman"/>
                <w:sz w:val="20"/>
                <w:szCs w:val="20"/>
                <w:lang w:val="en-IE"/>
              </w:rPr>
              <w:t>:  “Election of the members of the European parliament Law” 98(1)2004</w:t>
            </w:r>
            <w:r w:rsidRPr="00410205">
              <w:rPr>
                <w:rStyle w:val="FootnoteReference"/>
                <w:rFonts w:ascii="Verdana" w:hAnsi="Verdana" w:cs="Times New Roman"/>
                <w:sz w:val="20"/>
                <w:szCs w:val="20"/>
                <w:lang w:val="en-IE"/>
              </w:rPr>
              <w:footnoteReference w:id="4"/>
            </w:r>
            <w:r w:rsidRPr="00410205">
              <w:rPr>
                <w:rFonts w:ascii="Verdana" w:hAnsi="Verdana" w:cs="Times New Roman"/>
                <w:sz w:val="20"/>
                <w:szCs w:val="20"/>
                <w:lang w:val="en-IE"/>
              </w:rPr>
              <w:t xml:space="preserve"> </w:t>
            </w:r>
          </w:p>
          <w:p w14:paraId="12DB4AE2" w14:textId="7E861543" w:rsidR="00382023" w:rsidRPr="00410205" w:rsidRDefault="00382023" w:rsidP="004E38DF">
            <w:pPr>
              <w:spacing w:before="240"/>
              <w:jc w:val="both"/>
              <w:rPr>
                <w:rFonts w:ascii="Verdana" w:hAnsi="Verdana" w:cs="Times New Roman"/>
                <w:sz w:val="20"/>
                <w:szCs w:val="20"/>
                <w:lang w:val="en-IE"/>
              </w:rPr>
            </w:pPr>
            <w:r w:rsidRPr="00410205">
              <w:rPr>
                <w:rFonts w:ascii="Verdana" w:hAnsi="Verdana" w:cs="Times New Roman"/>
                <w:sz w:val="20"/>
                <w:szCs w:val="20"/>
                <w:lang w:val="en-IE"/>
              </w:rPr>
              <w:t>-</w:t>
            </w:r>
            <w:r w:rsidRPr="00410205">
              <w:rPr>
                <w:rFonts w:ascii="Verdana" w:hAnsi="Verdana" w:cs="Times New Roman"/>
                <w:sz w:val="20"/>
                <w:szCs w:val="20"/>
                <w:u w:val="single"/>
                <w:lang w:val="en-IE"/>
              </w:rPr>
              <w:t>Municipal elections</w:t>
            </w:r>
            <w:r w:rsidRPr="00410205">
              <w:rPr>
                <w:rFonts w:ascii="Verdana" w:hAnsi="Verdana" w:cs="Times New Roman"/>
                <w:sz w:val="20"/>
                <w:szCs w:val="20"/>
                <w:lang w:val="en-IE"/>
              </w:rPr>
              <w:t>: “The Municipal and Community Elections (Nationals of Other Member States) Law 98(I)/2004</w:t>
            </w:r>
            <w:r w:rsidRPr="00410205">
              <w:rPr>
                <w:rStyle w:val="FootnoteReference"/>
                <w:rFonts w:ascii="Verdana" w:hAnsi="Verdana" w:cs="Times New Roman"/>
                <w:sz w:val="20"/>
                <w:szCs w:val="20"/>
                <w:lang w:val="en-IE"/>
              </w:rPr>
              <w:footnoteReference w:id="5"/>
            </w:r>
            <w:r w:rsidRPr="00410205">
              <w:rPr>
                <w:rFonts w:ascii="Verdana" w:hAnsi="Verdana" w:cs="Times New Roman"/>
                <w:sz w:val="20"/>
                <w:szCs w:val="20"/>
                <w:lang w:val="en-IE"/>
              </w:rPr>
              <w:t xml:space="preserve">. This law implemented Council Directive 94/80/EC of 19 December 1994 and Council Directive 96/30/EC of 13 May 1996 in the Cypriot legal order. It is </w:t>
            </w:r>
            <w:r w:rsidRPr="00410205">
              <w:rPr>
                <w:rFonts w:ascii="Verdana" w:hAnsi="Verdana" w:cs="Times New Roman"/>
                <w:bCs/>
                <w:sz w:val="20"/>
                <w:szCs w:val="20"/>
                <w:lang w:val="en-IE"/>
              </w:rPr>
              <w:t xml:space="preserve">laying down detailed arrangements for the exercise of the right to vote and to stand as a candidate in municipal elections by citizens of the Union residing in a Member State </w:t>
            </w:r>
            <w:r w:rsidRPr="00410205">
              <w:rPr>
                <w:rFonts w:ascii="Verdana" w:hAnsi="Verdana" w:cs="Times New Roman"/>
                <w:bCs/>
                <w:sz w:val="20"/>
                <w:szCs w:val="20"/>
                <w:lang w:val="en-IE"/>
              </w:rPr>
              <w:lastRenderedPageBreak/>
              <w:t>of which they are not nationals.</w:t>
            </w:r>
          </w:p>
          <w:p w14:paraId="12DB4AE3" w14:textId="7DE1B4FE" w:rsidR="00382023" w:rsidRPr="00410205" w:rsidRDefault="00382023" w:rsidP="004E38DF">
            <w:pPr>
              <w:spacing w:before="240"/>
              <w:jc w:val="both"/>
              <w:rPr>
                <w:rFonts w:ascii="Verdana" w:hAnsi="Verdana" w:cs="Times New Roman"/>
                <w:sz w:val="20"/>
                <w:szCs w:val="20"/>
                <w:lang w:val="en-IE"/>
              </w:rPr>
            </w:pPr>
            <w:r w:rsidRPr="00410205">
              <w:rPr>
                <w:rFonts w:ascii="Verdana" w:hAnsi="Verdana" w:cs="Times New Roman"/>
                <w:bCs/>
                <w:sz w:val="20"/>
                <w:szCs w:val="20"/>
                <w:lang w:val="en-IE"/>
              </w:rPr>
              <w:t>-</w:t>
            </w:r>
            <w:r w:rsidRPr="00410205">
              <w:rPr>
                <w:rFonts w:ascii="Verdana" w:hAnsi="Verdana" w:cs="Times New Roman"/>
                <w:bCs/>
                <w:sz w:val="20"/>
                <w:szCs w:val="20"/>
                <w:u w:val="single"/>
                <w:lang w:val="en-IE"/>
              </w:rPr>
              <w:t>Other national elections</w:t>
            </w:r>
            <w:r w:rsidRPr="00410205">
              <w:rPr>
                <w:rFonts w:ascii="Verdana" w:hAnsi="Verdana" w:cs="Times New Roman"/>
                <w:bCs/>
                <w:sz w:val="20"/>
                <w:szCs w:val="20"/>
                <w:lang w:val="en-IE"/>
              </w:rPr>
              <w:t xml:space="preserve">: the </w:t>
            </w:r>
            <w:r w:rsidRPr="00410205">
              <w:rPr>
                <w:rFonts w:ascii="Verdana" w:hAnsi="Verdana" w:cs="Times New Roman"/>
                <w:sz w:val="20"/>
                <w:szCs w:val="20"/>
                <w:lang w:val="en-IE"/>
              </w:rPr>
              <w:t>Law on Election of Members to the House of Representatives is in place since 1979</w:t>
            </w:r>
            <w:r w:rsidRPr="00410205">
              <w:rPr>
                <w:rStyle w:val="FootnoteReference"/>
                <w:rFonts w:ascii="Verdana" w:hAnsi="Verdana" w:cs="Times New Roman"/>
                <w:sz w:val="20"/>
                <w:szCs w:val="20"/>
                <w:lang w:val="en-IE"/>
              </w:rPr>
              <w:footnoteReference w:id="6"/>
            </w:r>
            <w:r w:rsidRPr="00410205">
              <w:rPr>
                <w:rFonts w:ascii="Verdana" w:hAnsi="Verdana" w:cs="Times New Roman"/>
                <w:sz w:val="20"/>
                <w:szCs w:val="20"/>
                <w:lang w:val="en-IE"/>
              </w:rPr>
              <w:t xml:space="preserve"> and the Election (President and Vice-President of the Republic) Laws of 1959.</w:t>
            </w:r>
            <w:r w:rsidRPr="00410205">
              <w:rPr>
                <w:rStyle w:val="FootnoteReference"/>
                <w:rFonts w:ascii="Verdana" w:hAnsi="Verdana" w:cs="Times New Roman"/>
                <w:sz w:val="20"/>
                <w:szCs w:val="20"/>
                <w:lang w:val="en-IE"/>
              </w:rPr>
              <w:footnoteReference w:id="7"/>
            </w:r>
          </w:p>
          <w:p w14:paraId="56E978AC" w14:textId="77777777" w:rsidR="00382023" w:rsidRPr="00410205" w:rsidRDefault="00382023" w:rsidP="004E38DF">
            <w:pPr>
              <w:spacing w:before="240"/>
              <w:contextualSpacing/>
              <w:jc w:val="both"/>
              <w:rPr>
                <w:rFonts w:ascii="Verdana" w:hAnsi="Verdana" w:cs="Times New Roman"/>
                <w:sz w:val="20"/>
                <w:szCs w:val="20"/>
                <w:lang w:val="en-IE"/>
              </w:rPr>
            </w:pPr>
          </w:p>
          <w:p w14:paraId="12DB4AE5" w14:textId="15C859BB" w:rsidR="00382023" w:rsidRPr="00410205" w:rsidRDefault="00382023" w:rsidP="004E38DF">
            <w:pPr>
              <w:spacing w:before="240"/>
              <w:contextualSpacing/>
              <w:jc w:val="both"/>
              <w:rPr>
                <w:rFonts w:ascii="Verdana" w:hAnsi="Verdana" w:cs="Times New Roman"/>
                <w:sz w:val="20"/>
                <w:szCs w:val="20"/>
                <w:lang w:val="en-IE"/>
              </w:rPr>
            </w:pPr>
            <w:r w:rsidRPr="00410205">
              <w:rPr>
                <w:rFonts w:ascii="Verdana" w:hAnsi="Verdana" w:cs="Times New Roman"/>
                <w:sz w:val="20"/>
                <w:szCs w:val="20"/>
                <w:lang w:val="en-IE"/>
              </w:rPr>
              <w:t>-</w:t>
            </w:r>
            <w:r w:rsidRPr="00410205">
              <w:rPr>
                <w:rFonts w:ascii="Verdana" w:hAnsi="Verdana" w:cs="Times New Roman"/>
                <w:sz w:val="20"/>
                <w:szCs w:val="20"/>
                <w:u w:val="single"/>
                <w:lang w:val="en-IE"/>
              </w:rPr>
              <w:t>Referendums</w:t>
            </w:r>
            <w:r w:rsidRPr="00410205">
              <w:rPr>
                <w:rFonts w:ascii="Verdana" w:hAnsi="Verdana" w:cs="Times New Roman"/>
                <w:sz w:val="20"/>
                <w:szCs w:val="20"/>
                <w:lang w:val="en-IE"/>
              </w:rPr>
              <w:t>: “Referendums Law” of 1989 which was not amended so far.</w:t>
            </w:r>
            <w:r w:rsidRPr="00410205">
              <w:rPr>
                <w:rStyle w:val="FootnoteReference"/>
                <w:rFonts w:ascii="Verdana" w:hAnsi="Verdana" w:cs="Times New Roman"/>
                <w:sz w:val="20"/>
                <w:szCs w:val="20"/>
                <w:lang w:val="en-IE"/>
              </w:rPr>
              <w:footnoteReference w:id="8"/>
            </w:r>
            <w:r w:rsidRPr="00410205">
              <w:rPr>
                <w:rFonts w:ascii="Verdana" w:hAnsi="Verdana" w:cs="Times New Roman"/>
                <w:sz w:val="20"/>
                <w:szCs w:val="20"/>
                <w:lang w:val="en-IE"/>
              </w:rPr>
              <w:t xml:space="preserve"> </w:t>
            </w:r>
          </w:p>
        </w:tc>
      </w:tr>
      <w:tr w:rsidR="00382023" w:rsidRPr="00410205" w14:paraId="12DB4AEE" w14:textId="77777777" w:rsidTr="00382023">
        <w:trPr>
          <w:trHeight w:val="454"/>
        </w:trPr>
        <w:tc>
          <w:tcPr>
            <w:tcW w:w="1578" w:type="pct"/>
            <w:shd w:val="clear" w:color="auto" w:fill="auto"/>
            <w:vAlign w:val="center"/>
          </w:tcPr>
          <w:p w14:paraId="12DB4AE8" w14:textId="77777777" w:rsidR="00382023" w:rsidRPr="00410205" w:rsidRDefault="00382023" w:rsidP="004E38DF">
            <w:pPr>
              <w:spacing w:before="240"/>
              <w:contextualSpacing/>
              <w:jc w:val="both"/>
              <w:rPr>
                <w:rFonts w:ascii="Verdana" w:eastAsia="Calibri" w:hAnsi="Verdana" w:cs="Times New Roman"/>
                <w:sz w:val="20"/>
                <w:szCs w:val="20"/>
                <w:lang w:val="en-IE"/>
              </w:rPr>
            </w:pPr>
            <w:r w:rsidRPr="00410205">
              <w:rPr>
                <w:rFonts w:ascii="Verdana" w:eastAsia="Calibri" w:hAnsi="Verdana" w:cs="Times New Roman"/>
                <w:sz w:val="20"/>
                <w:szCs w:val="20"/>
                <w:lang w:val="en-IE"/>
              </w:rPr>
              <w:lastRenderedPageBreak/>
              <w:t>Is there a requirement under law to register to vote? If so, please specify the relevant legislation.</w:t>
            </w:r>
          </w:p>
          <w:p w14:paraId="12DB4AE9" w14:textId="77777777" w:rsidR="00382023" w:rsidRPr="00410205" w:rsidRDefault="00382023" w:rsidP="004E38DF">
            <w:pPr>
              <w:spacing w:before="240"/>
              <w:contextualSpacing/>
              <w:jc w:val="both"/>
              <w:rPr>
                <w:rFonts w:ascii="Verdana" w:eastAsia="Calibri" w:hAnsi="Verdana" w:cs="Times New Roman"/>
                <w:sz w:val="20"/>
                <w:szCs w:val="20"/>
                <w:lang w:val="en-IE"/>
              </w:rPr>
            </w:pPr>
          </w:p>
        </w:tc>
        <w:tc>
          <w:tcPr>
            <w:tcW w:w="3422" w:type="pct"/>
            <w:shd w:val="clear" w:color="auto" w:fill="auto"/>
            <w:vAlign w:val="center"/>
          </w:tcPr>
          <w:p w14:paraId="12DB4AEC" w14:textId="65F4EE80" w:rsidR="00382023" w:rsidRPr="00410205" w:rsidRDefault="00382023" w:rsidP="004E38DF">
            <w:pPr>
              <w:spacing w:before="240"/>
              <w:contextualSpacing/>
              <w:jc w:val="both"/>
              <w:rPr>
                <w:rStyle w:val="Strong"/>
                <w:rFonts w:ascii="Verdana" w:hAnsi="Verdana"/>
                <w:b w:val="0"/>
                <w:sz w:val="20"/>
                <w:szCs w:val="20"/>
                <w:lang w:val="en-IE"/>
              </w:rPr>
            </w:pPr>
            <w:r w:rsidRPr="00410205">
              <w:rPr>
                <w:rFonts w:ascii="Verdana" w:hAnsi="Verdana" w:cs="Times New Roman"/>
                <w:sz w:val="20"/>
                <w:szCs w:val="20"/>
                <w:lang w:val="en-IE"/>
              </w:rPr>
              <w:t xml:space="preserve">-For </w:t>
            </w:r>
            <w:r w:rsidRPr="00410205">
              <w:rPr>
                <w:rFonts w:ascii="Verdana" w:hAnsi="Verdana" w:cs="Times New Roman"/>
                <w:sz w:val="20"/>
                <w:szCs w:val="20"/>
                <w:u w:val="single"/>
                <w:lang w:val="en-IE"/>
              </w:rPr>
              <w:t>non-Cypriot EU citizens</w:t>
            </w:r>
            <w:r w:rsidRPr="00410205">
              <w:rPr>
                <w:rFonts w:ascii="Verdana" w:hAnsi="Verdana" w:cs="Times New Roman"/>
                <w:sz w:val="20"/>
                <w:szCs w:val="20"/>
                <w:lang w:val="en-IE"/>
              </w:rPr>
              <w:t xml:space="preserve">: The Municipal and Community Elections (National of Other Member States) </w:t>
            </w:r>
            <w:r w:rsidRPr="00410205">
              <w:rPr>
                <w:rStyle w:val="Strong"/>
                <w:rFonts w:ascii="Verdana" w:hAnsi="Verdana"/>
                <w:b w:val="0"/>
                <w:sz w:val="20"/>
                <w:szCs w:val="20"/>
                <w:lang w:val="en-IE"/>
              </w:rPr>
              <w:t>Law 98(I)/2004 was amended during 2010 with Laws 38(I)/2010 and 46(I)/2010,</w:t>
            </w:r>
            <w:r w:rsidRPr="00410205">
              <w:rPr>
                <w:rStyle w:val="FootnoteReference"/>
                <w:rFonts w:ascii="Verdana" w:hAnsi="Verdana" w:cs="Times New Roman"/>
                <w:bCs/>
                <w:sz w:val="20"/>
                <w:szCs w:val="20"/>
                <w:lang w:val="en-IE"/>
              </w:rPr>
              <w:footnoteReference w:id="9"/>
            </w:r>
            <w:r w:rsidRPr="00410205">
              <w:rPr>
                <w:rStyle w:val="Strong"/>
                <w:rFonts w:ascii="Verdana" w:hAnsi="Verdana"/>
                <w:b w:val="0"/>
                <w:sz w:val="20"/>
                <w:szCs w:val="20"/>
                <w:lang w:val="en-IE"/>
              </w:rPr>
              <w:t xml:space="preserve"> which further clarified certain secondary provisions of this Law and introduced the possibility of registering by the submission of a registration certificate of citizens of the Union, or an identity card, instead of a passport (Article 2). </w:t>
            </w:r>
          </w:p>
          <w:p w14:paraId="0C9AE3ED" w14:textId="77777777" w:rsidR="00382023" w:rsidRPr="00410205" w:rsidRDefault="00382023" w:rsidP="004E38DF">
            <w:pPr>
              <w:spacing w:before="240"/>
              <w:contextualSpacing/>
              <w:jc w:val="both"/>
              <w:rPr>
                <w:rStyle w:val="Strong"/>
                <w:rFonts w:ascii="Verdana" w:hAnsi="Verdana"/>
                <w:b w:val="0"/>
                <w:sz w:val="20"/>
                <w:szCs w:val="20"/>
                <w:lang w:val="en-IE"/>
              </w:rPr>
            </w:pPr>
          </w:p>
          <w:p w14:paraId="12DB4AED" w14:textId="42272197" w:rsidR="00382023" w:rsidRPr="00410205" w:rsidRDefault="00382023" w:rsidP="004E38DF">
            <w:pPr>
              <w:spacing w:before="240"/>
              <w:contextualSpacing/>
              <w:jc w:val="both"/>
              <w:rPr>
                <w:rFonts w:ascii="Verdana" w:hAnsi="Verdana" w:cs="Times New Roman"/>
                <w:bCs/>
                <w:sz w:val="20"/>
                <w:szCs w:val="20"/>
                <w:lang w:val="en-IE"/>
              </w:rPr>
            </w:pPr>
            <w:r w:rsidRPr="00410205">
              <w:rPr>
                <w:rStyle w:val="Strong"/>
                <w:rFonts w:ascii="Verdana" w:hAnsi="Verdana"/>
                <w:b w:val="0"/>
                <w:sz w:val="20"/>
                <w:szCs w:val="20"/>
                <w:lang w:val="en-IE"/>
              </w:rPr>
              <w:t xml:space="preserve">-For the </w:t>
            </w:r>
            <w:r w:rsidRPr="00410205">
              <w:rPr>
                <w:rStyle w:val="Strong"/>
                <w:rFonts w:ascii="Verdana" w:hAnsi="Verdana"/>
                <w:b w:val="0"/>
                <w:sz w:val="20"/>
                <w:szCs w:val="20"/>
                <w:u w:val="single"/>
                <w:lang w:val="en-IE"/>
              </w:rPr>
              <w:t>Cypriot citizens</w:t>
            </w:r>
            <w:r w:rsidRPr="00410205">
              <w:rPr>
                <w:rStyle w:val="Strong"/>
                <w:rFonts w:ascii="Verdana" w:hAnsi="Verdana"/>
                <w:b w:val="0"/>
                <w:sz w:val="20"/>
                <w:szCs w:val="20"/>
                <w:lang w:val="en-IE"/>
              </w:rPr>
              <w:t xml:space="preserve">: the Law Registration of Voters and Electoral List of 1980, last amended in 2003, sets the procedure for the registration of persons in order to have the right to vote. According to article 6, this procedure applies for Cypriot citizens as well, and makes it obligatory for persons from 18 years old on to register on the electoral list. The non-registration is considered a criminal offence (Article 8). </w:t>
            </w:r>
          </w:p>
        </w:tc>
      </w:tr>
      <w:tr w:rsidR="00382023" w:rsidRPr="00410205" w14:paraId="51F084AD" w14:textId="77777777" w:rsidTr="00382023">
        <w:trPr>
          <w:trHeight w:val="454"/>
        </w:trPr>
        <w:tc>
          <w:tcPr>
            <w:tcW w:w="1578" w:type="pct"/>
            <w:shd w:val="clear" w:color="auto" w:fill="auto"/>
            <w:vAlign w:val="center"/>
          </w:tcPr>
          <w:p w14:paraId="5D4EF185" w14:textId="77777777" w:rsidR="00382023" w:rsidRPr="00410205" w:rsidRDefault="00382023" w:rsidP="004E38DF">
            <w:pPr>
              <w:jc w:val="both"/>
              <w:rPr>
                <w:rFonts w:ascii="Verdana" w:hAnsi="Verdana"/>
                <w:sz w:val="20"/>
                <w:szCs w:val="20"/>
                <w:lang w:val="en-IE"/>
              </w:rPr>
            </w:pPr>
            <w:r w:rsidRPr="00410205">
              <w:rPr>
                <w:rFonts w:ascii="Verdana" w:hAnsi="Verdana"/>
                <w:sz w:val="20"/>
                <w:szCs w:val="20"/>
                <w:lang w:val="en-IE"/>
              </w:rPr>
              <w:t xml:space="preserve">Is there any limitation foreseen by law which could affect the right of persons with disabilities to vote in European Parliament and municipal elections? Please give details of any restrictions on the right to vote of persons with disabilities, including any link between a particular type of impairment (e.g. </w:t>
            </w:r>
            <w:r w:rsidRPr="00410205">
              <w:rPr>
                <w:rFonts w:ascii="Verdana" w:hAnsi="Verdana"/>
                <w:sz w:val="20"/>
                <w:szCs w:val="20"/>
                <w:lang w:val="en-IE"/>
              </w:rPr>
              <w:lastRenderedPageBreak/>
              <w:t>psychosocial/intellectual disability) or substituted decision making (e.g. loss of legal capacity, placement under guardianship)and the right to vote in elections.</w:t>
            </w:r>
          </w:p>
          <w:p w14:paraId="4A7C5328" w14:textId="38946B8F" w:rsidR="00382023" w:rsidRPr="00410205" w:rsidRDefault="00382023" w:rsidP="004E38DF">
            <w:pPr>
              <w:spacing w:before="240"/>
              <w:contextualSpacing/>
              <w:jc w:val="both"/>
              <w:rPr>
                <w:rFonts w:ascii="Verdana" w:eastAsia="Calibri" w:hAnsi="Verdana" w:cs="Times New Roman"/>
                <w:sz w:val="20"/>
                <w:szCs w:val="20"/>
                <w:lang w:val="en-IE"/>
              </w:rPr>
            </w:pPr>
            <w:r w:rsidRPr="00410205">
              <w:rPr>
                <w:rFonts w:ascii="Verdana" w:hAnsi="Verdana"/>
                <w:sz w:val="20"/>
                <w:szCs w:val="20"/>
                <w:lang w:val="en-IE"/>
              </w:rPr>
              <w:t>Does the same law regarding voting rights apply for national, local/regional elections and referendums?</w:t>
            </w:r>
          </w:p>
        </w:tc>
        <w:tc>
          <w:tcPr>
            <w:tcW w:w="3422" w:type="pct"/>
            <w:vAlign w:val="center"/>
          </w:tcPr>
          <w:p w14:paraId="45D68671" w14:textId="4AE55EDD" w:rsidR="00382023" w:rsidRPr="00410205" w:rsidRDefault="00382023" w:rsidP="004E38DF">
            <w:pPr>
              <w:spacing w:before="240"/>
              <w:contextualSpacing/>
              <w:jc w:val="both"/>
              <w:rPr>
                <w:rFonts w:ascii="Verdana" w:eastAsia="Calibri" w:hAnsi="Verdana" w:cs="Times New Roman"/>
                <w:sz w:val="20"/>
                <w:szCs w:val="20"/>
                <w:lang w:val="en-IE"/>
              </w:rPr>
            </w:pPr>
            <w:r w:rsidRPr="00410205">
              <w:rPr>
                <w:rFonts w:ascii="Verdana" w:eastAsia="Calibri" w:hAnsi="Verdana" w:cs="Times New Roman"/>
                <w:sz w:val="20"/>
                <w:szCs w:val="20"/>
                <w:lang w:val="en-IE"/>
              </w:rPr>
              <w:lastRenderedPageBreak/>
              <w:t>According to t</w:t>
            </w:r>
            <w:r w:rsidRPr="00410205">
              <w:rPr>
                <w:rStyle w:val="Strong"/>
                <w:rFonts w:ascii="Verdana" w:hAnsi="Verdana"/>
                <w:b w:val="0"/>
                <w:sz w:val="20"/>
                <w:szCs w:val="20"/>
                <w:lang w:val="en-IE"/>
              </w:rPr>
              <w:t xml:space="preserve">he Law Registration of Voters and Electoral List of 1980, last amended in 2003, </w:t>
            </w:r>
            <w:r w:rsidRPr="00410205">
              <w:rPr>
                <w:rFonts w:ascii="Verdana" w:eastAsia="Calibri" w:hAnsi="Verdana" w:cs="Times New Roman"/>
                <w:sz w:val="20"/>
                <w:szCs w:val="20"/>
                <w:lang w:val="en-IE"/>
              </w:rPr>
              <w:t>citizens may lose their rights only when they are found guilty with regard to voting related issues. There are no other offences or circumstances to permit the loss of legal capacity and the right to vote.</w:t>
            </w:r>
            <w:r w:rsidRPr="00410205">
              <w:rPr>
                <w:rStyle w:val="FootnoteReference"/>
                <w:rFonts w:ascii="Verdana" w:hAnsi="Verdana" w:cs="Times New Roman"/>
                <w:bCs/>
                <w:sz w:val="20"/>
                <w:szCs w:val="20"/>
                <w:lang w:val="en-IE"/>
              </w:rPr>
              <w:footnoteReference w:id="10"/>
            </w:r>
            <w:r w:rsidRPr="00410205">
              <w:rPr>
                <w:rFonts w:ascii="Verdana" w:eastAsia="Calibri" w:hAnsi="Verdana" w:cs="Times New Roman"/>
                <w:sz w:val="20"/>
                <w:szCs w:val="20"/>
                <w:lang w:val="en-IE"/>
              </w:rPr>
              <w:t xml:space="preserve"> </w:t>
            </w:r>
          </w:p>
        </w:tc>
      </w:tr>
      <w:tr w:rsidR="00382023" w:rsidRPr="00410205" w14:paraId="631027C6" w14:textId="77777777" w:rsidTr="00382023">
        <w:trPr>
          <w:trHeight w:val="454"/>
        </w:trPr>
        <w:tc>
          <w:tcPr>
            <w:tcW w:w="1578" w:type="pct"/>
            <w:shd w:val="clear" w:color="auto" w:fill="auto"/>
            <w:vAlign w:val="center"/>
          </w:tcPr>
          <w:p w14:paraId="19921AF6" w14:textId="77777777" w:rsidR="00382023" w:rsidRPr="00410205" w:rsidRDefault="00382023" w:rsidP="004E38DF">
            <w:pPr>
              <w:jc w:val="both"/>
              <w:rPr>
                <w:rFonts w:ascii="Verdana" w:hAnsi="Verdana"/>
                <w:sz w:val="20"/>
                <w:szCs w:val="20"/>
                <w:lang w:val="en-IE"/>
              </w:rPr>
            </w:pPr>
            <w:r w:rsidRPr="00410205">
              <w:rPr>
                <w:rFonts w:ascii="Verdana" w:hAnsi="Verdana"/>
                <w:sz w:val="20"/>
                <w:szCs w:val="20"/>
                <w:lang w:val="en-IE"/>
              </w:rPr>
              <w:lastRenderedPageBreak/>
              <w:t>Do all persons with disabilities have the right, under law, to stand for and be elected to public office, in municipal elections, on an equal basis with others? And in elections to the European Parliament?</w:t>
            </w:r>
          </w:p>
          <w:p w14:paraId="1520FC41" w14:textId="77777777" w:rsidR="00382023" w:rsidRPr="00410205" w:rsidRDefault="00382023" w:rsidP="004E38DF">
            <w:pPr>
              <w:jc w:val="both"/>
              <w:rPr>
                <w:rFonts w:ascii="Verdana" w:hAnsi="Verdana"/>
                <w:sz w:val="20"/>
                <w:szCs w:val="20"/>
                <w:lang w:val="en-IE"/>
              </w:rPr>
            </w:pPr>
          </w:p>
          <w:p w14:paraId="6BB179B1" w14:textId="2D79F586" w:rsidR="00382023" w:rsidRPr="00410205" w:rsidRDefault="00382023" w:rsidP="004E38DF">
            <w:pPr>
              <w:spacing w:before="240"/>
              <w:contextualSpacing/>
              <w:jc w:val="both"/>
              <w:rPr>
                <w:rFonts w:ascii="Verdana" w:eastAsia="Calibri" w:hAnsi="Verdana" w:cs="Times New Roman"/>
                <w:sz w:val="20"/>
                <w:szCs w:val="20"/>
                <w:lang w:val="en-IE"/>
              </w:rPr>
            </w:pPr>
            <w:r w:rsidRPr="00410205">
              <w:rPr>
                <w:rFonts w:ascii="Verdana" w:hAnsi="Verdana"/>
                <w:sz w:val="20"/>
                <w:szCs w:val="20"/>
                <w:lang w:val="en-IE"/>
              </w:rPr>
              <w:t>Does the same election law apply for other elections (e.g. national, local and regional) and referendums?</w:t>
            </w:r>
          </w:p>
        </w:tc>
        <w:tc>
          <w:tcPr>
            <w:tcW w:w="3422" w:type="pct"/>
            <w:vAlign w:val="center"/>
          </w:tcPr>
          <w:p w14:paraId="4F0DE4D2" w14:textId="76954BFF" w:rsidR="00382023" w:rsidRPr="00410205" w:rsidRDefault="00382023" w:rsidP="004E38DF">
            <w:pPr>
              <w:spacing w:before="240"/>
              <w:contextualSpacing/>
              <w:jc w:val="both"/>
              <w:rPr>
                <w:rFonts w:ascii="Verdana" w:eastAsia="Calibri" w:hAnsi="Verdana" w:cs="Times New Roman"/>
                <w:sz w:val="20"/>
                <w:szCs w:val="20"/>
                <w:lang w:val="en-IE"/>
              </w:rPr>
            </w:pPr>
            <w:r w:rsidRPr="00410205">
              <w:rPr>
                <w:rFonts w:ascii="Verdana" w:hAnsi="Verdana"/>
                <w:sz w:val="20"/>
                <w:szCs w:val="20"/>
                <w:lang w:val="en-IE"/>
              </w:rPr>
              <w:t>Citizens can stand for and be elected to public office if they are over 35 years old, are eligible to vote, have not been convicted of “an offence involving dishonesty”, have not been disqualified by a court for any electoral offence or are not suffering from a mental disability.</w:t>
            </w:r>
            <w:r w:rsidRPr="00410205">
              <w:rPr>
                <w:rStyle w:val="FootnoteReference"/>
                <w:rFonts w:ascii="Verdana" w:hAnsi="Verdana"/>
                <w:sz w:val="20"/>
                <w:szCs w:val="20"/>
                <w:lang w:val="en-IE"/>
              </w:rPr>
              <w:footnoteReference w:id="11"/>
            </w:r>
          </w:p>
        </w:tc>
      </w:tr>
      <w:tr w:rsidR="00382023" w:rsidRPr="00410205" w14:paraId="12DB4AF4" w14:textId="77777777" w:rsidTr="00382023">
        <w:trPr>
          <w:trHeight w:val="454"/>
        </w:trPr>
        <w:tc>
          <w:tcPr>
            <w:tcW w:w="1578" w:type="pct"/>
            <w:shd w:val="clear" w:color="auto" w:fill="auto"/>
            <w:vAlign w:val="center"/>
          </w:tcPr>
          <w:p w14:paraId="12DB4AF0" w14:textId="77777777" w:rsidR="00382023" w:rsidRPr="00410205" w:rsidRDefault="00382023" w:rsidP="004E38DF">
            <w:pPr>
              <w:spacing w:before="240"/>
              <w:contextualSpacing/>
              <w:jc w:val="both"/>
              <w:rPr>
                <w:rFonts w:ascii="Verdana" w:eastAsia="Calibri" w:hAnsi="Verdana" w:cs="Times New Roman"/>
                <w:sz w:val="20"/>
                <w:szCs w:val="20"/>
                <w:lang w:val="en-IE"/>
              </w:rPr>
            </w:pPr>
            <w:r w:rsidRPr="00410205">
              <w:rPr>
                <w:rFonts w:ascii="Verdana" w:eastAsia="Calibri" w:hAnsi="Verdana" w:cs="Times New Roman"/>
                <w:sz w:val="20"/>
                <w:szCs w:val="20"/>
                <w:lang w:val="en-IE"/>
              </w:rPr>
              <w:t>Is there legislation in place regulating how people living in long-term institutions may vote?</w:t>
            </w:r>
          </w:p>
        </w:tc>
        <w:tc>
          <w:tcPr>
            <w:tcW w:w="3422" w:type="pct"/>
            <w:vAlign w:val="center"/>
          </w:tcPr>
          <w:p w14:paraId="6E8DA2DD" w14:textId="2CF68A92" w:rsidR="00382023" w:rsidRPr="00410205" w:rsidRDefault="00382023" w:rsidP="004E38DF">
            <w:pPr>
              <w:spacing w:before="240"/>
              <w:contextualSpacing/>
              <w:jc w:val="both"/>
              <w:rPr>
                <w:rFonts w:ascii="Verdana" w:eastAsia="Calibri" w:hAnsi="Verdana" w:cs="Times New Roman"/>
                <w:sz w:val="20"/>
                <w:szCs w:val="20"/>
                <w:lang w:val="en-IE"/>
              </w:rPr>
            </w:pPr>
            <w:r w:rsidRPr="00410205">
              <w:rPr>
                <w:rFonts w:ascii="Verdana" w:eastAsia="Calibri" w:hAnsi="Verdana" w:cs="Times New Roman"/>
                <w:sz w:val="20"/>
                <w:szCs w:val="20"/>
                <w:lang w:val="en-IE"/>
              </w:rPr>
              <w:t>Only in Central Prisons a polling station is set up enabling inmates to vote. In no other institutions the persons are able to vote, and no other procedures exist such as mobile polling stations, voting by post etc.</w:t>
            </w:r>
            <w:r w:rsidRPr="00410205">
              <w:rPr>
                <w:rStyle w:val="FootnoteReference"/>
                <w:rFonts w:ascii="Verdana" w:eastAsia="Calibri" w:hAnsi="Verdana" w:cs="Times New Roman"/>
                <w:sz w:val="20"/>
                <w:szCs w:val="20"/>
                <w:lang w:val="en-IE"/>
              </w:rPr>
              <w:footnoteReference w:id="12"/>
            </w:r>
          </w:p>
          <w:p w14:paraId="12DB4AF3" w14:textId="724082B5" w:rsidR="00382023" w:rsidRPr="00410205" w:rsidRDefault="00382023" w:rsidP="004E38DF">
            <w:pPr>
              <w:spacing w:before="240"/>
              <w:contextualSpacing/>
              <w:jc w:val="both"/>
              <w:rPr>
                <w:rFonts w:ascii="Verdana" w:eastAsia="Calibri" w:hAnsi="Verdana" w:cs="Times New Roman"/>
                <w:sz w:val="20"/>
                <w:szCs w:val="20"/>
                <w:lang w:val="en-IE"/>
              </w:rPr>
            </w:pPr>
            <w:r w:rsidRPr="00410205">
              <w:rPr>
                <w:rFonts w:ascii="Verdana" w:eastAsia="Calibri" w:hAnsi="Verdana" w:cs="Times New Roman"/>
                <w:sz w:val="20"/>
                <w:szCs w:val="20"/>
                <w:lang w:val="en-IE"/>
              </w:rPr>
              <w:t>The election law does not provide for the establishment of polling stations in hospitals, retirement homes or for mobile voting, which limits the right of elderly, bedridden and disabled voters.</w:t>
            </w:r>
            <w:r w:rsidRPr="00410205">
              <w:rPr>
                <w:rStyle w:val="FootnoteReference"/>
                <w:rFonts w:ascii="Verdana" w:eastAsia="Calibri" w:hAnsi="Verdana" w:cs="Times New Roman"/>
                <w:sz w:val="20"/>
                <w:szCs w:val="20"/>
                <w:lang w:val="en-IE"/>
              </w:rPr>
              <w:footnoteReference w:id="13"/>
            </w:r>
          </w:p>
        </w:tc>
      </w:tr>
      <w:tr w:rsidR="00382023" w:rsidRPr="00410205" w14:paraId="2CF2EB10" w14:textId="77777777" w:rsidTr="00382023">
        <w:trPr>
          <w:trHeight w:val="454"/>
        </w:trPr>
        <w:tc>
          <w:tcPr>
            <w:tcW w:w="1578" w:type="pct"/>
            <w:shd w:val="clear" w:color="auto" w:fill="auto"/>
            <w:vAlign w:val="center"/>
          </w:tcPr>
          <w:p w14:paraId="64790443" w14:textId="2081CEED" w:rsidR="00382023" w:rsidRPr="00410205" w:rsidRDefault="00382023" w:rsidP="004E38DF">
            <w:pPr>
              <w:spacing w:before="240"/>
              <w:contextualSpacing/>
              <w:jc w:val="both"/>
              <w:rPr>
                <w:rFonts w:ascii="Verdana" w:hAnsi="Verdana"/>
                <w:sz w:val="20"/>
                <w:szCs w:val="20"/>
                <w:lang w:val="en-IE"/>
              </w:rPr>
            </w:pPr>
            <w:r w:rsidRPr="00410205">
              <w:rPr>
                <w:rFonts w:ascii="Verdana" w:hAnsi="Verdana"/>
                <w:sz w:val="20"/>
                <w:szCs w:val="20"/>
                <w:lang w:val="en-IE"/>
              </w:rPr>
              <w:t xml:space="preserve">Is there a duty under law to provide reasonable accommodation for persons with disabilities in voting procedures? For example, is there a duty to provide assistance at the polling station (e.g. </w:t>
            </w:r>
            <w:r w:rsidRPr="00410205">
              <w:rPr>
                <w:rFonts w:ascii="Verdana" w:hAnsi="Verdana"/>
                <w:sz w:val="20"/>
                <w:szCs w:val="20"/>
                <w:lang w:val="en-IE"/>
              </w:rPr>
              <w:lastRenderedPageBreak/>
              <w:t>braille or large print ballot papers, independent support person to assist with voting chosen by the person with a disability) or to allow for alternative means of voting (e.g. postal ballots, voting in advance, home-based voting, voting at institutions, mobile voting)?</w:t>
            </w:r>
          </w:p>
        </w:tc>
        <w:tc>
          <w:tcPr>
            <w:tcW w:w="3422" w:type="pct"/>
            <w:vAlign w:val="center"/>
          </w:tcPr>
          <w:p w14:paraId="7C8A064F" w14:textId="219079F9" w:rsidR="00382023" w:rsidRPr="00410205" w:rsidRDefault="00382023" w:rsidP="004E38DF">
            <w:pPr>
              <w:spacing w:before="240"/>
              <w:contextualSpacing/>
              <w:jc w:val="both"/>
              <w:rPr>
                <w:rFonts w:ascii="Verdana" w:hAnsi="Verdana"/>
                <w:sz w:val="20"/>
                <w:szCs w:val="20"/>
                <w:lang w:val="en-IE"/>
              </w:rPr>
            </w:pPr>
            <w:r w:rsidRPr="00410205">
              <w:rPr>
                <w:rFonts w:ascii="Verdana" w:hAnsi="Verdana"/>
                <w:sz w:val="20"/>
                <w:szCs w:val="20"/>
                <w:lang w:val="en-IE"/>
              </w:rPr>
              <w:lastRenderedPageBreak/>
              <w:t>The election law does not provide for the establishment of polling stations in hospitals, retirement homes or for mobile voting.</w:t>
            </w:r>
            <w:r w:rsidRPr="00410205">
              <w:rPr>
                <w:rStyle w:val="FootnoteReference"/>
                <w:rFonts w:ascii="Verdana" w:hAnsi="Verdana"/>
                <w:sz w:val="20"/>
                <w:szCs w:val="20"/>
                <w:lang w:val="en-IE"/>
              </w:rPr>
              <w:footnoteReference w:id="14"/>
            </w:r>
            <w:r w:rsidRPr="00410205">
              <w:rPr>
                <w:rFonts w:ascii="Verdana" w:hAnsi="Verdana"/>
                <w:sz w:val="20"/>
                <w:szCs w:val="20"/>
                <w:lang w:val="en-IE"/>
              </w:rPr>
              <w:t xml:space="preserve"> </w:t>
            </w:r>
          </w:p>
          <w:p w14:paraId="5ACAB0F1" w14:textId="5C928598" w:rsidR="00382023" w:rsidRPr="00410205" w:rsidRDefault="00382023" w:rsidP="004E38DF">
            <w:pPr>
              <w:spacing w:before="240"/>
              <w:contextualSpacing/>
              <w:jc w:val="both"/>
              <w:rPr>
                <w:rFonts w:ascii="Verdana" w:eastAsia="Calibri" w:hAnsi="Verdana" w:cs="Times New Roman"/>
                <w:sz w:val="20"/>
                <w:szCs w:val="20"/>
                <w:lang w:val="en-IE"/>
              </w:rPr>
            </w:pPr>
            <w:r w:rsidRPr="00410205">
              <w:rPr>
                <w:rFonts w:ascii="Verdana" w:hAnsi="Verdana"/>
                <w:sz w:val="20"/>
                <w:szCs w:val="20"/>
                <w:lang w:val="en-IE"/>
              </w:rPr>
              <w:t xml:space="preserve">District Returning Officers were asked to ensure that the polling stations where disabled voters had to vote were accessible or equipped with special ramps. Additionally, disabled voters may ask the presiding officer to assist him/her in the exercise of his right to vote, </w:t>
            </w:r>
            <w:r w:rsidRPr="00410205">
              <w:rPr>
                <w:rFonts w:ascii="Verdana" w:hAnsi="Verdana"/>
                <w:sz w:val="20"/>
                <w:szCs w:val="20"/>
                <w:lang w:val="en-IE"/>
              </w:rPr>
              <w:lastRenderedPageBreak/>
              <w:t>according his will. Such a request should be made in the presence of at least one other person</w:t>
            </w:r>
            <w:r w:rsidRPr="00410205">
              <w:rPr>
                <w:rStyle w:val="FootnoteReference"/>
                <w:rFonts w:ascii="Verdana" w:hAnsi="Verdana"/>
                <w:sz w:val="20"/>
                <w:szCs w:val="20"/>
                <w:lang w:val="en-IE"/>
              </w:rPr>
              <w:footnoteReference w:id="15"/>
            </w:r>
            <w:r w:rsidRPr="00410205">
              <w:rPr>
                <w:rFonts w:ascii="Verdana" w:hAnsi="Verdana"/>
                <w:sz w:val="20"/>
                <w:szCs w:val="20"/>
                <w:lang w:val="en-IE"/>
              </w:rPr>
              <w:t>.</w:t>
            </w:r>
          </w:p>
        </w:tc>
      </w:tr>
      <w:tr w:rsidR="00382023" w:rsidRPr="00410205" w14:paraId="12DB4AFA" w14:textId="77777777" w:rsidTr="00382023">
        <w:trPr>
          <w:trHeight w:val="454"/>
        </w:trPr>
        <w:tc>
          <w:tcPr>
            <w:tcW w:w="1578" w:type="pct"/>
            <w:shd w:val="clear" w:color="auto" w:fill="auto"/>
            <w:vAlign w:val="center"/>
          </w:tcPr>
          <w:p w14:paraId="12DB4AF6" w14:textId="77777777" w:rsidR="00382023" w:rsidRPr="00410205" w:rsidRDefault="00382023" w:rsidP="004E38DF">
            <w:pPr>
              <w:spacing w:before="240"/>
              <w:contextualSpacing/>
              <w:jc w:val="both"/>
              <w:rPr>
                <w:rFonts w:ascii="Verdana" w:eastAsia="Calibri" w:hAnsi="Verdana" w:cs="Times New Roman"/>
                <w:sz w:val="20"/>
                <w:szCs w:val="20"/>
                <w:lang w:val="en-IE"/>
              </w:rPr>
            </w:pPr>
            <w:r w:rsidRPr="00410205">
              <w:rPr>
                <w:rFonts w:ascii="Verdana" w:eastAsia="Calibri" w:hAnsi="Verdana" w:cs="Times New Roman"/>
                <w:sz w:val="20"/>
                <w:szCs w:val="20"/>
                <w:lang w:val="en-IE"/>
              </w:rPr>
              <w:lastRenderedPageBreak/>
              <w:t xml:space="preserve">Is there a duty under law for public and private providers of internet and web-based information to ensure that public information is subject to accessibility requirements (e.g. equivalent to </w:t>
            </w:r>
            <w:hyperlink r:id="rId13" w:history="1">
              <w:r w:rsidRPr="00410205">
                <w:rPr>
                  <w:rStyle w:val="Hyperlink"/>
                  <w:rFonts w:ascii="Verdana" w:eastAsia="Calibri" w:hAnsi="Verdana" w:cs="Times New Roman"/>
                  <w:sz w:val="20"/>
                  <w:szCs w:val="20"/>
                  <w:lang w:val="en-IE"/>
                </w:rPr>
                <w:t>Web Content Accessibility Guidelines (WCAG) 2.0</w:t>
              </w:r>
            </w:hyperlink>
            <w:r w:rsidRPr="00410205">
              <w:rPr>
                <w:rFonts w:ascii="Verdana" w:eastAsia="Calibri" w:hAnsi="Verdana" w:cs="Times New Roman"/>
                <w:sz w:val="20"/>
                <w:szCs w:val="20"/>
                <w:lang w:val="en-IE"/>
              </w:rPr>
              <w:t xml:space="preserve"> AA standard</w:t>
            </w:r>
            <w:r w:rsidRPr="00410205">
              <w:rPr>
                <w:rStyle w:val="FootnoteReference"/>
                <w:rFonts w:ascii="Verdana" w:eastAsia="Calibri" w:hAnsi="Verdana" w:cs="Times New Roman"/>
                <w:sz w:val="20"/>
                <w:szCs w:val="20"/>
                <w:lang w:val="en-IE"/>
              </w:rPr>
              <w:footnoteReference w:id="16"/>
            </w:r>
            <w:r w:rsidRPr="00410205">
              <w:rPr>
                <w:rFonts w:ascii="Verdana" w:eastAsia="Calibri" w:hAnsi="Verdana" w:cs="Times New Roman"/>
                <w:sz w:val="20"/>
                <w:szCs w:val="20"/>
                <w:lang w:val="en-IE"/>
              </w:rPr>
              <w:t>)</w:t>
            </w:r>
          </w:p>
        </w:tc>
        <w:tc>
          <w:tcPr>
            <w:tcW w:w="3422" w:type="pct"/>
            <w:vAlign w:val="center"/>
          </w:tcPr>
          <w:p w14:paraId="12DB4AF9" w14:textId="2EEC1D03" w:rsidR="00382023" w:rsidRPr="00410205" w:rsidRDefault="00382023" w:rsidP="004E38DF">
            <w:pPr>
              <w:spacing w:before="240"/>
              <w:contextualSpacing/>
              <w:jc w:val="both"/>
              <w:rPr>
                <w:rFonts w:ascii="Verdana" w:hAnsi="Verdana" w:cs="Times New Roman"/>
                <w:color w:val="FF0000"/>
                <w:sz w:val="20"/>
                <w:szCs w:val="20"/>
                <w:lang w:val="en-IE"/>
              </w:rPr>
            </w:pPr>
            <w:r w:rsidRPr="00410205">
              <w:rPr>
                <w:rFonts w:ascii="Verdana" w:eastAsia="Calibri" w:hAnsi="Verdana" w:cs="Times New Roman"/>
                <w:sz w:val="20"/>
                <w:szCs w:val="20"/>
                <w:lang w:val="en-IE"/>
              </w:rPr>
              <w:t xml:space="preserve">The </w:t>
            </w:r>
            <w:r w:rsidRPr="00410205">
              <w:rPr>
                <w:rFonts w:ascii="Verdana" w:hAnsi="Verdana" w:cs="Times New Roman"/>
                <w:sz w:val="20"/>
                <w:szCs w:val="20"/>
                <w:lang w:val="en-IE"/>
              </w:rPr>
              <w:t xml:space="preserve">Convention on the Rights of Persons with Disabilities and Related Issues (Ratification) Law of 2011 encourages private providers to ensure that public information is accessible. Specifically, </w:t>
            </w:r>
            <w:r w:rsidRPr="00410205">
              <w:rPr>
                <w:rFonts w:ascii="Verdana" w:eastAsia="Calibri" w:hAnsi="Verdana" w:cs="Times New Roman"/>
                <w:sz w:val="20"/>
                <w:szCs w:val="20"/>
                <w:lang w:val="en-IE"/>
              </w:rPr>
              <w:t>Article 21 (c) urges private entities that provide services to the general public, including through the Internet, to provide information and services in accessible and usable formats for persons with disabilities and (d) encourages the mass media, including providers of information through the Internet, to make their services accessible to persons with disabilities.</w:t>
            </w:r>
            <w:r w:rsidRPr="00410205">
              <w:rPr>
                <w:rStyle w:val="FootnoteReference"/>
                <w:rFonts w:ascii="Verdana" w:hAnsi="Verdana" w:cs="Times New Roman"/>
                <w:sz w:val="20"/>
                <w:szCs w:val="20"/>
                <w:lang w:val="en-IE"/>
              </w:rPr>
              <w:footnoteReference w:id="17"/>
            </w:r>
            <w:r w:rsidRPr="00410205">
              <w:rPr>
                <w:rFonts w:ascii="Verdana" w:eastAsia="Calibri" w:hAnsi="Verdana" w:cs="Times New Roman"/>
                <w:sz w:val="20"/>
                <w:szCs w:val="20"/>
                <w:lang w:val="en-IE"/>
              </w:rPr>
              <w:t xml:space="preserve"> No other sources could be identified specifying accessibility requirements towards public or private internet providers. </w:t>
            </w:r>
            <w:r w:rsidRPr="00410205">
              <w:rPr>
                <w:rFonts w:ascii="Verdana" w:hAnsi="Verdana" w:cs="Times New Roman"/>
                <w:sz w:val="20"/>
                <w:szCs w:val="20"/>
                <w:lang w:val="en-IE"/>
              </w:rPr>
              <w:t>The Regulation of Electronic Communications and Postal Services Law of 2004 (</w:t>
            </w:r>
            <w:r w:rsidRPr="00410205">
              <w:rPr>
                <w:rFonts w:ascii="Verdana" w:hAnsi="Verdana" w:cs="Times New Roman"/>
                <w:bCs/>
                <w:sz w:val="20"/>
                <w:szCs w:val="20"/>
                <w:lang w:val="en-IE"/>
              </w:rPr>
              <w:t xml:space="preserve">112(I)/2004) </w:t>
            </w:r>
            <w:r w:rsidRPr="00410205">
              <w:rPr>
                <w:rFonts w:ascii="Verdana" w:hAnsi="Verdana" w:cs="Times New Roman"/>
                <w:sz w:val="20"/>
                <w:szCs w:val="20"/>
                <w:lang w:val="en-IE"/>
              </w:rPr>
              <w:t xml:space="preserve">was also reviewed, but no provisions related to accessibility of information for persons with disabilities were identified. </w:t>
            </w:r>
          </w:p>
        </w:tc>
      </w:tr>
      <w:tr w:rsidR="00382023" w:rsidRPr="00410205" w14:paraId="12DB4B03" w14:textId="77777777" w:rsidTr="00382023">
        <w:trPr>
          <w:trHeight w:val="454"/>
        </w:trPr>
        <w:tc>
          <w:tcPr>
            <w:tcW w:w="1578" w:type="pct"/>
            <w:shd w:val="clear" w:color="auto" w:fill="auto"/>
            <w:vAlign w:val="center"/>
          </w:tcPr>
          <w:p w14:paraId="12DB4AFC" w14:textId="77777777" w:rsidR="00382023" w:rsidRPr="00410205" w:rsidRDefault="00382023" w:rsidP="004E38DF">
            <w:pPr>
              <w:spacing w:before="240"/>
              <w:contextualSpacing/>
              <w:jc w:val="both"/>
              <w:rPr>
                <w:rFonts w:ascii="Verdana" w:eastAsia="Calibri" w:hAnsi="Verdana" w:cs="Times New Roman"/>
                <w:sz w:val="20"/>
                <w:szCs w:val="20"/>
                <w:lang w:val="en-IE"/>
              </w:rPr>
            </w:pPr>
            <w:r w:rsidRPr="00410205">
              <w:rPr>
                <w:rFonts w:ascii="Verdana" w:eastAsia="Calibri" w:hAnsi="Verdana" w:cs="Times New Roman"/>
                <w:sz w:val="20"/>
                <w:szCs w:val="20"/>
                <w:lang w:val="en-IE"/>
              </w:rPr>
              <w:t>Is there a duty under law for public and private providers of media (including newspapers, TV, radio and internet) to ensure that their information and communications are subject to accessibility requirements?</w:t>
            </w:r>
          </w:p>
        </w:tc>
        <w:tc>
          <w:tcPr>
            <w:tcW w:w="3422" w:type="pct"/>
            <w:vAlign w:val="center"/>
          </w:tcPr>
          <w:p w14:paraId="12DB4AFF" w14:textId="3A105641" w:rsidR="00382023" w:rsidRPr="00410205" w:rsidRDefault="00382023" w:rsidP="004E38DF">
            <w:pPr>
              <w:spacing w:before="240"/>
              <w:contextualSpacing/>
              <w:jc w:val="both"/>
              <w:rPr>
                <w:rFonts w:ascii="Verdana" w:eastAsia="Calibri" w:hAnsi="Verdana" w:cs="Times New Roman"/>
                <w:sz w:val="20"/>
                <w:szCs w:val="20"/>
                <w:lang w:val="en-IE"/>
              </w:rPr>
            </w:pPr>
            <w:r w:rsidRPr="00410205">
              <w:rPr>
                <w:rFonts w:ascii="Verdana" w:eastAsia="Calibri" w:hAnsi="Verdana" w:cs="Times New Roman"/>
                <w:sz w:val="20"/>
                <w:szCs w:val="20"/>
                <w:lang w:val="en-IE"/>
              </w:rPr>
              <w:t>-Article 8 of Persons with Disabilities Law of 2000 sets out obligations in the field of telecommunication and information. Specifically, article 8 (3) provides that: “</w:t>
            </w:r>
            <w:r w:rsidRPr="00410205">
              <w:rPr>
                <w:rFonts w:ascii="Verdana" w:eastAsia="Calibri" w:hAnsi="Verdana" w:cs="Times New Roman"/>
                <w:i/>
                <w:sz w:val="20"/>
                <w:szCs w:val="20"/>
                <w:lang w:val="en-IE"/>
              </w:rPr>
              <w:t>TV channels should make the necessary arrangements so that, for specific hours, the news bulletin is comprehensible by the deaf</w:t>
            </w:r>
            <w:r w:rsidRPr="00410205">
              <w:rPr>
                <w:rFonts w:ascii="Verdana" w:eastAsia="Calibri" w:hAnsi="Verdana" w:cs="Times New Roman"/>
                <w:sz w:val="20"/>
                <w:szCs w:val="20"/>
                <w:lang w:val="en-IE"/>
              </w:rPr>
              <w:t>”.</w:t>
            </w:r>
            <w:r w:rsidRPr="00410205">
              <w:rPr>
                <w:rStyle w:val="FootnoteReference"/>
                <w:rFonts w:ascii="Verdana" w:eastAsia="Calibri" w:hAnsi="Verdana" w:cs="Times New Roman"/>
                <w:sz w:val="20"/>
                <w:szCs w:val="20"/>
                <w:lang w:val="en-IE"/>
              </w:rPr>
              <w:footnoteReference w:id="18"/>
            </w:r>
          </w:p>
          <w:p w14:paraId="4C9CFD62" w14:textId="77777777" w:rsidR="00382023" w:rsidRPr="00410205" w:rsidRDefault="00382023" w:rsidP="004E38DF">
            <w:pPr>
              <w:spacing w:before="240"/>
              <w:contextualSpacing/>
              <w:jc w:val="both"/>
              <w:rPr>
                <w:rFonts w:ascii="Verdana" w:eastAsia="Calibri" w:hAnsi="Verdana" w:cs="Times New Roman"/>
                <w:sz w:val="20"/>
                <w:szCs w:val="20"/>
                <w:lang w:val="en-IE"/>
              </w:rPr>
            </w:pPr>
          </w:p>
          <w:p w14:paraId="12DB4B00" w14:textId="152F2063" w:rsidR="00382023" w:rsidRPr="00410205" w:rsidRDefault="00382023" w:rsidP="004E38DF">
            <w:pPr>
              <w:spacing w:before="240"/>
              <w:contextualSpacing/>
              <w:jc w:val="both"/>
              <w:rPr>
                <w:rFonts w:ascii="Verdana" w:eastAsia="Calibri" w:hAnsi="Verdana" w:cs="Times New Roman"/>
                <w:sz w:val="20"/>
                <w:szCs w:val="20"/>
                <w:lang w:val="en-IE"/>
              </w:rPr>
            </w:pPr>
            <w:r w:rsidRPr="00410205">
              <w:rPr>
                <w:rFonts w:ascii="Verdana" w:eastAsia="Calibri" w:hAnsi="Verdana" w:cs="Times New Roman"/>
                <w:sz w:val="20"/>
                <w:szCs w:val="20"/>
                <w:lang w:val="en-IE"/>
              </w:rPr>
              <w:t xml:space="preserve">-The Cyprus Broadcasting Corporation Law and  Radio and Television Laws of 1998 to 2011 (L.7 (I) / 1998) includes applicable provisions for all </w:t>
            </w:r>
            <w:proofErr w:type="spellStart"/>
            <w:r w:rsidRPr="00410205">
              <w:rPr>
                <w:rFonts w:ascii="Verdana" w:eastAsia="Calibri" w:hAnsi="Verdana" w:cs="Times New Roman"/>
                <w:sz w:val="20"/>
                <w:szCs w:val="20"/>
                <w:lang w:val="en-IE"/>
              </w:rPr>
              <w:t>audiovisual</w:t>
            </w:r>
            <w:proofErr w:type="spellEnd"/>
            <w:r w:rsidRPr="00410205">
              <w:rPr>
                <w:rFonts w:ascii="Verdana" w:eastAsia="Calibri" w:hAnsi="Verdana" w:cs="Times New Roman"/>
                <w:sz w:val="20"/>
                <w:szCs w:val="20"/>
                <w:lang w:val="en-IE"/>
              </w:rPr>
              <w:t xml:space="preserve"> media services and encourages the media service providers under their jurisdiction to ensure that their services are gradually made accessible to people with a visual or hearing disability (Article 30B(1)). Moreover, Article 30B (2) specifies that “</w:t>
            </w:r>
            <w:r w:rsidRPr="00410205">
              <w:rPr>
                <w:rFonts w:ascii="Verdana" w:eastAsia="Calibri" w:hAnsi="Verdana" w:cs="Times New Roman"/>
                <w:i/>
                <w:sz w:val="20"/>
                <w:szCs w:val="20"/>
                <w:lang w:val="en-IE"/>
              </w:rPr>
              <w:t xml:space="preserve">Each television service is obliged to </w:t>
            </w:r>
            <w:r w:rsidRPr="00410205">
              <w:rPr>
                <w:rFonts w:ascii="Verdana" w:eastAsia="Calibri" w:hAnsi="Verdana" w:cs="Times New Roman"/>
                <w:i/>
                <w:sz w:val="20"/>
                <w:szCs w:val="20"/>
                <w:lang w:val="en-IE"/>
              </w:rPr>
              <w:lastRenderedPageBreak/>
              <w:t>broadcast between 18:00h and 22:00h special news bulletin addressed to deaf persons, with duration at least five minutes. The broadcasting of the above mentioned special news bulletin should take at least half the space of the TV screen</w:t>
            </w:r>
            <w:r w:rsidRPr="00410205">
              <w:rPr>
                <w:rFonts w:ascii="Verdana" w:eastAsia="Calibri" w:hAnsi="Verdana" w:cs="Times New Roman"/>
                <w:sz w:val="20"/>
                <w:szCs w:val="20"/>
                <w:lang w:val="en-IE"/>
              </w:rPr>
              <w:t xml:space="preserve">”. There are no other specifications in relation to the steps to be taken or the methods to </w:t>
            </w:r>
            <w:proofErr w:type="gramStart"/>
            <w:r w:rsidRPr="00410205">
              <w:rPr>
                <w:rFonts w:ascii="Verdana" w:eastAsia="Calibri" w:hAnsi="Verdana" w:cs="Times New Roman"/>
                <w:sz w:val="20"/>
                <w:szCs w:val="20"/>
                <w:lang w:val="en-IE"/>
              </w:rPr>
              <w:t>used</w:t>
            </w:r>
            <w:proofErr w:type="gramEnd"/>
            <w:r w:rsidRPr="00410205">
              <w:rPr>
                <w:rFonts w:ascii="Verdana" w:eastAsia="Calibri" w:hAnsi="Verdana" w:cs="Times New Roman"/>
                <w:sz w:val="20"/>
                <w:szCs w:val="20"/>
                <w:lang w:val="en-IE"/>
              </w:rPr>
              <w:t>.</w:t>
            </w:r>
          </w:p>
          <w:p w14:paraId="12DB4B02" w14:textId="2E1FE8C9" w:rsidR="00382023" w:rsidRPr="00410205" w:rsidRDefault="00382023" w:rsidP="00870EED">
            <w:pPr>
              <w:spacing w:before="240"/>
              <w:contextualSpacing/>
              <w:jc w:val="both"/>
              <w:rPr>
                <w:rFonts w:ascii="Verdana" w:eastAsia="Calibri" w:hAnsi="Verdana" w:cs="Times New Roman"/>
                <w:sz w:val="20"/>
                <w:szCs w:val="20"/>
                <w:lang w:val="en-IE"/>
              </w:rPr>
            </w:pPr>
            <w:r w:rsidRPr="00410205">
              <w:rPr>
                <w:rFonts w:ascii="Verdana" w:eastAsia="Calibri" w:hAnsi="Verdana" w:cs="Times New Roman"/>
                <w:sz w:val="20"/>
                <w:szCs w:val="20"/>
                <w:lang w:val="en-IE"/>
              </w:rPr>
              <w:t xml:space="preserve">Article 30B(3) mentions that the </w:t>
            </w:r>
            <w:proofErr w:type="spellStart"/>
            <w:r w:rsidRPr="00410205">
              <w:rPr>
                <w:rFonts w:ascii="Verdana" w:eastAsia="Calibri" w:hAnsi="Verdana" w:cs="Times New Roman"/>
                <w:sz w:val="20"/>
                <w:szCs w:val="20"/>
                <w:lang w:val="en-IE"/>
              </w:rPr>
              <w:t>audiovisual</w:t>
            </w:r>
            <w:proofErr w:type="spellEnd"/>
            <w:r w:rsidRPr="00410205">
              <w:rPr>
                <w:rFonts w:ascii="Verdana" w:eastAsia="Calibri" w:hAnsi="Verdana" w:cs="Times New Roman"/>
                <w:sz w:val="20"/>
                <w:szCs w:val="20"/>
                <w:lang w:val="en-IE"/>
              </w:rPr>
              <w:t xml:space="preserve"> media services, following consultations with the Authority, should submit an one-year timeline which indicates specific ways to achieve gradual increase of the percentage of their shows – at least up to 5% more than the news bulletins – which will be accessible to persons with visual or hearing disability.</w:t>
            </w:r>
            <w:r w:rsidRPr="00410205">
              <w:rPr>
                <w:rStyle w:val="FootnoteReference"/>
                <w:rFonts w:ascii="Verdana" w:eastAsia="Calibri" w:hAnsi="Verdana" w:cs="Times New Roman"/>
                <w:sz w:val="20"/>
                <w:szCs w:val="20"/>
                <w:lang w:val="en-IE"/>
              </w:rPr>
              <w:footnoteReference w:id="19"/>
            </w:r>
            <w:r w:rsidRPr="00410205">
              <w:rPr>
                <w:rFonts w:ascii="Verdana" w:eastAsia="Calibri" w:hAnsi="Verdana" w:cs="Times New Roman"/>
                <w:sz w:val="20"/>
                <w:szCs w:val="20"/>
                <w:lang w:val="en-IE"/>
              </w:rPr>
              <w:t xml:space="preserve">  </w:t>
            </w:r>
          </w:p>
        </w:tc>
      </w:tr>
      <w:tr w:rsidR="00382023" w:rsidRPr="00410205" w14:paraId="12DB4B09" w14:textId="77777777" w:rsidTr="00382023">
        <w:trPr>
          <w:trHeight w:val="454"/>
        </w:trPr>
        <w:tc>
          <w:tcPr>
            <w:tcW w:w="1578" w:type="pct"/>
            <w:vAlign w:val="center"/>
          </w:tcPr>
          <w:p w14:paraId="12DB4B05" w14:textId="77777777" w:rsidR="00382023" w:rsidRPr="00410205" w:rsidRDefault="00382023" w:rsidP="004E38DF">
            <w:pPr>
              <w:spacing w:before="240"/>
              <w:contextualSpacing/>
              <w:jc w:val="both"/>
              <w:rPr>
                <w:rFonts w:ascii="Verdana" w:eastAsia="Calibri" w:hAnsi="Verdana" w:cs="Times New Roman"/>
                <w:sz w:val="20"/>
                <w:szCs w:val="20"/>
                <w:lang w:val="en-IE"/>
              </w:rPr>
            </w:pPr>
            <w:r w:rsidRPr="00410205">
              <w:rPr>
                <w:rFonts w:ascii="Verdana" w:eastAsia="Calibri" w:hAnsi="Verdana" w:cs="Times New Roman"/>
                <w:sz w:val="20"/>
                <w:szCs w:val="20"/>
                <w:lang w:val="en-IE"/>
              </w:rPr>
              <w:lastRenderedPageBreak/>
              <w:t>Does the law foresee training for election authorities and election officials on non-discrimination on the grounds of disability, accessibility and reasonable accommodation?</w:t>
            </w:r>
          </w:p>
        </w:tc>
        <w:tc>
          <w:tcPr>
            <w:tcW w:w="3422" w:type="pct"/>
            <w:vAlign w:val="center"/>
          </w:tcPr>
          <w:p w14:paraId="12DB4B08" w14:textId="6E8206ED" w:rsidR="00382023" w:rsidRPr="00410205" w:rsidRDefault="00382023" w:rsidP="004E38DF">
            <w:pPr>
              <w:spacing w:before="240"/>
              <w:contextualSpacing/>
              <w:jc w:val="both"/>
              <w:rPr>
                <w:rFonts w:ascii="Verdana" w:eastAsia="Calibri" w:hAnsi="Verdana" w:cs="Times New Roman"/>
                <w:sz w:val="20"/>
                <w:szCs w:val="20"/>
                <w:lang w:val="en-IE"/>
              </w:rPr>
            </w:pPr>
            <w:r w:rsidRPr="00410205">
              <w:rPr>
                <w:rFonts w:ascii="Verdana" w:eastAsia="Calibri" w:hAnsi="Verdana" w:cs="Times New Roman"/>
                <w:sz w:val="20"/>
                <w:szCs w:val="20"/>
                <w:lang w:val="en-IE"/>
              </w:rPr>
              <w:t>According to the Central Election Service, there is no material related to reasonable accommodation for persons with disabilities or which provides guidance on how to support persons with disabilities to vote. The Central Election Service prior to any elections distributes announcements to the election officials regarding the measures to be taken to ensure the accessibility of specific polling stations where persons with disability will vote.</w:t>
            </w:r>
            <w:r w:rsidRPr="00410205">
              <w:rPr>
                <w:rStyle w:val="FootnoteReference"/>
                <w:rFonts w:ascii="Verdana" w:eastAsia="Calibri" w:hAnsi="Verdana" w:cs="Times New Roman"/>
                <w:sz w:val="20"/>
                <w:szCs w:val="20"/>
                <w:lang w:val="en-IE"/>
              </w:rPr>
              <w:footnoteReference w:id="20"/>
            </w:r>
            <w:r w:rsidRPr="00410205">
              <w:rPr>
                <w:rFonts w:ascii="Verdana" w:eastAsia="Calibri" w:hAnsi="Verdana" w:cs="Times New Roman"/>
                <w:sz w:val="20"/>
                <w:szCs w:val="20"/>
                <w:lang w:val="en-IE"/>
              </w:rPr>
              <w:t xml:space="preserve">  </w:t>
            </w:r>
          </w:p>
        </w:tc>
      </w:tr>
      <w:tr w:rsidR="00382023" w:rsidRPr="00410205" w14:paraId="7EB91C86" w14:textId="77777777" w:rsidTr="00382023">
        <w:trPr>
          <w:trHeight w:val="454"/>
        </w:trPr>
        <w:tc>
          <w:tcPr>
            <w:tcW w:w="1578" w:type="pct"/>
            <w:vAlign w:val="center"/>
          </w:tcPr>
          <w:p w14:paraId="253661E2" w14:textId="77777777" w:rsidR="00382023" w:rsidRPr="00410205" w:rsidRDefault="00382023" w:rsidP="004E38DF">
            <w:pPr>
              <w:spacing w:before="240"/>
              <w:contextualSpacing/>
              <w:jc w:val="both"/>
              <w:rPr>
                <w:rFonts w:ascii="Verdana" w:hAnsi="Verdana"/>
                <w:sz w:val="20"/>
                <w:szCs w:val="20"/>
                <w:lang w:val="en-IE"/>
              </w:rPr>
            </w:pPr>
            <w:r w:rsidRPr="00410205">
              <w:rPr>
                <w:rFonts w:ascii="Verdana" w:hAnsi="Verdana"/>
                <w:sz w:val="20"/>
                <w:szCs w:val="20"/>
                <w:lang w:val="en-IE"/>
              </w:rPr>
              <w:t>Does the national strategy/action plan on disability cover the right to political participation of persons with disabilities?</w:t>
            </w:r>
          </w:p>
          <w:p w14:paraId="7EC39387" w14:textId="46124D4C" w:rsidR="00382023" w:rsidRPr="00410205" w:rsidRDefault="00382023" w:rsidP="004E38DF">
            <w:pPr>
              <w:spacing w:before="240"/>
              <w:contextualSpacing/>
              <w:jc w:val="both"/>
              <w:rPr>
                <w:rFonts w:ascii="Verdana" w:eastAsia="Calibri" w:hAnsi="Verdana" w:cs="Times New Roman"/>
                <w:sz w:val="20"/>
                <w:szCs w:val="20"/>
                <w:lang w:val="en-IE"/>
              </w:rPr>
            </w:pPr>
          </w:p>
        </w:tc>
        <w:tc>
          <w:tcPr>
            <w:tcW w:w="3422" w:type="pct"/>
            <w:vAlign w:val="center"/>
          </w:tcPr>
          <w:p w14:paraId="554CCF4A" w14:textId="5E0630EC" w:rsidR="00382023" w:rsidRPr="00410205" w:rsidRDefault="00382023" w:rsidP="004E38DF">
            <w:pPr>
              <w:spacing w:before="240"/>
              <w:contextualSpacing/>
              <w:jc w:val="both"/>
              <w:rPr>
                <w:rFonts w:ascii="Verdana" w:eastAsia="Calibri" w:hAnsi="Verdana" w:cs="Times New Roman"/>
                <w:sz w:val="20"/>
                <w:szCs w:val="20"/>
                <w:lang w:val="en-IE"/>
              </w:rPr>
            </w:pPr>
            <w:r w:rsidRPr="00410205">
              <w:rPr>
                <w:rFonts w:ascii="Verdana" w:eastAsia="Calibri" w:hAnsi="Verdana" w:cs="Times New Roman"/>
                <w:sz w:val="20"/>
                <w:szCs w:val="20"/>
                <w:lang w:val="en-IE"/>
              </w:rPr>
              <w:t xml:space="preserve">In </w:t>
            </w:r>
            <w:r w:rsidRPr="00410205">
              <w:rPr>
                <w:rFonts w:ascii="Verdana" w:eastAsia="Calibri" w:hAnsi="Verdana" w:cs="Times New Roman"/>
                <w:i/>
                <w:sz w:val="20"/>
                <w:szCs w:val="20"/>
                <w:lang w:val="en-IE"/>
              </w:rPr>
              <w:t>Cyprus</w:t>
            </w:r>
            <w:r w:rsidRPr="00410205">
              <w:rPr>
                <w:rFonts w:ascii="Verdana" w:eastAsia="Calibri" w:hAnsi="Verdana" w:cs="Times New Roman"/>
                <w:sz w:val="20"/>
                <w:szCs w:val="20"/>
                <w:lang w:val="en-IE"/>
              </w:rPr>
              <w:t xml:space="preserve"> the </w:t>
            </w:r>
            <w:r w:rsidRPr="00410205">
              <w:rPr>
                <w:rFonts w:ascii="Verdana" w:eastAsia="Calibri" w:hAnsi="Verdana" w:cs="Times New Roman"/>
                <w:i/>
                <w:sz w:val="20"/>
                <w:szCs w:val="20"/>
                <w:lang w:val="en-IE"/>
              </w:rPr>
              <w:t>National Disability Strategy (2013-2015)</w:t>
            </w:r>
            <w:r w:rsidRPr="00410205">
              <w:rPr>
                <w:rFonts w:ascii="Verdana" w:eastAsia="Calibri" w:hAnsi="Verdana" w:cs="Times New Roman"/>
                <w:sz w:val="20"/>
                <w:szCs w:val="20"/>
                <w:vertAlign w:val="superscript"/>
                <w:lang w:val="en-IE"/>
              </w:rPr>
              <w:footnoteReference w:id="21"/>
            </w:r>
            <w:r w:rsidRPr="00410205">
              <w:rPr>
                <w:rFonts w:ascii="Verdana" w:eastAsia="Calibri" w:hAnsi="Verdana" w:cs="Times New Roman"/>
                <w:sz w:val="20"/>
                <w:szCs w:val="20"/>
                <w:lang w:val="en-IE"/>
              </w:rPr>
              <w:t xml:space="preserve"> does not include any specific stipulations regarding the right to civil and political participation of persons with disabilities. The strategy contains a broad commitment to ‘[r]</w:t>
            </w:r>
            <w:proofErr w:type="spellStart"/>
            <w:r w:rsidRPr="00410205">
              <w:rPr>
                <w:rFonts w:ascii="Verdana" w:eastAsia="Calibri" w:hAnsi="Verdana" w:cs="Times New Roman"/>
                <w:sz w:val="20"/>
                <w:szCs w:val="20"/>
                <w:lang w:val="en-IE"/>
              </w:rPr>
              <w:t>econsider</w:t>
            </w:r>
            <w:proofErr w:type="spellEnd"/>
            <w:r w:rsidRPr="00410205">
              <w:rPr>
                <w:rFonts w:ascii="Verdana" w:eastAsia="Calibri" w:hAnsi="Verdana" w:cs="Times New Roman"/>
                <w:sz w:val="20"/>
                <w:szCs w:val="20"/>
                <w:lang w:val="en-IE"/>
              </w:rPr>
              <w:t xml:space="preserve"> all laws pertaining to the rights of persons with disabilities and identify necessary improvements for the further implementation of the obligations of the state to implement the UN Convention’.</w:t>
            </w:r>
            <w:r w:rsidRPr="00410205">
              <w:rPr>
                <w:rFonts w:ascii="Verdana" w:eastAsia="Calibri" w:hAnsi="Verdana" w:cs="Times New Roman"/>
                <w:sz w:val="20"/>
                <w:szCs w:val="20"/>
                <w:vertAlign w:val="superscript"/>
                <w:lang w:val="en-IE"/>
              </w:rPr>
              <w:footnoteReference w:id="22"/>
            </w:r>
            <w:r w:rsidRPr="00410205">
              <w:rPr>
                <w:rFonts w:ascii="Verdana" w:eastAsia="Calibri" w:hAnsi="Verdana" w:cs="Times New Roman"/>
                <w:sz w:val="20"/>
                <w:szCs w:val="20"/>
                <w:lang w:val="en-IE"/>
              </w:rPr>
              <w:t xml:space="preserve"> No further details are provided regarding the specific laws to be reviewed.</w:t>
            </w:r>
          </w:p>
        </w:tc>
      </w:tr>
      <w:tr w:rsidR="00382023" w:rsidRPr="00410205" w14:paraId="12DB4B12" w14:textId="77777777" w:rsidTr="00382023">
        <w:trPr>
          <w:trHeight w:val="454"/>
        </w:trPr>
        <w:tc>
          <w:tcPr>
            <w:tcW w:w="1578" w:type="pct"/>
            <w:vAlign w:val="center"/>
          </w:tcPr>
          <w:p w14:paraId="12DB4B0B" w14:textId="11C81B3B" w:rsidR="00382023" w:rsidRPr="00410205" w:rsidRDefault="00382023" w:rsidP="00382023">
            <w:pPr>
              <w:spacing w:before="240"/>
              <w:contextualSpacing/>
              <w:jc w:val="both"/>
              <w:rPr>
                <w:rFonts w:ascii="Verdana" w:eastAsia="Calibri" w:hAnsi="Verdana" w:cs="Times New Roman"/>
                <w:sz w:val="20"/>
                <w:szCs w:val="20"/>
                <w:lang w:val="en-IE"/>
              </w:rPr>
            </w:pPr>
            <w:r w:rsidRPr="00410205">
              <w:rPr>
                <w:rFonts w:ascii="Verdana" w:eastAsia="Calibri" w:hAnsi="Verdana" w:cs="Times New Roman"/>
                <w:sz w:val="20"/>
                <w:szCs w:val="20"/>
                <w:lang w:val="en-IE"/>
              </w:rPr>
              <w:t>Are all persons with disabilities, including those who have been deprived of their legal capacity, able to access redress and complaint mechanisms in cases where they have not been able to exercise the right to vote?</w:t>
            </w:r>
          </w:p>
        </w:tc>
        <w:tc>
          <w:tcPr>
            <w:tcW w:w="3422" w:type="pct"/>
            <w:vAlign w:val="center"/>
          </w:tcPr>
          <w:p w14:paraId="12DB4B0F" w14:textId="7B67AF05" w:rsidR="00382023" w:rsidRPr="00410205" w:rsidRDefault="00382023" w:rsidP="004E38DF">
            <w:pPr>
              <w:spacing w:before="240"/>
              <w:contextualSpacing/>
              <w:jc w:val="both"/>
              <w:rPr>
                <w:rFonts w:ascii="Verdana" w:eastAsia="Calibri" w:hAnsi="Verdana" w:cs="Times New Roman"/>
                <w:sz w:val="20"/>
                <w:szCs w:val="20"/>
                <w:lang w:val="en-IE"/>
              </w:rPr>
            </w:pPr>
            <w:r w:rsidRPr="00410205">
              <w:rPr>
                <w:rFonts w:ascii="Verdana" w:eastAsia="Calibri" w:hAnsi="Verdana" w:cs="Times New Roman"/>
                <w:sz w:val="20"/>
                <w:szCs w:val="20"/>
                <w:lang w:val="en-IE"/>
              </w:rPr>
              <w:t>Any complaints about election arrangements before election day are made to the General Returning Officer and if not resolved could result in appeals to the Supreme Court, which acts as an Electoral Court. Complaints on voter registration can be made by any registered voter to the District Returning Officer.</w:t>
            </w:r>
            <w:r w:rsidRPr="00410205">
              <w:rPr>
                <w:rStyle w:val="FootnoteReference"/>
                <w:rFonts w:ascii="Verdana" w:eastAsia="Calibri" w:hAnsi="Verdana" w:cs="Times New Roman"/>
                <w:sz w:val="20"/>
                <w:szCs w:val="20"/>
                <w:lang w:val="en-IE"/>
              </w:rPr>
              <w:footnoteReference w:id="23"/>
            </w:r>
            <w:r w:rsidRPr="00410205">
              <w:rPr>
                <w:rFonts w:ascii="Verdana" w:eastAsia="Calibri" w:hAnsi="Verdana" w:cs="Times New Roman"/>
                <w:sz w:val="20"/>
                <w:szCs w:val="20"/>
                <w:lang w:val="en-IE"/>
              </w:rPr>
              <w:t xml:space="preserve">  </w:t>
            </w:r>
          </w:p>
          <w:p w14:paraId="7A77F033" w14:textId="77777777" w:rsidR="00382023" w:rsidRPr="00410205" w:rsidRDefault="00382023" w:rsidP="004E38DF">
            <w:pPr>
              <w:spacing w:before="240"/>
              <w:contextualSpacing/>
              <w:jc w:val="both"/>
              <w:rPr>
                <w:rFonts w:ascii="Verdana" w:eastAsia="Calibri" w:hAnsi="Verdana" w:cs="Times New Roman"/>
                <w:sz w:val="20"/>
                <w:szCs w:val="20"/>
                <w:lang w:val="en-IE"/>
              </w:rPr>
            </w:pPr>
          </w:p>
          <w:p w14:paraId="0B311141" w14:textId="77777777" w:rsidR="00382023" w:rsidRPr="00410205" w:rsidRDefault="00382023" w:rsidP="004E38DF">
            <w:pPr>
              <w:spacing w:before="240"/>
              <w:contextualSpacing/>
              <w:jc w:val="both"/>
              <w:rPr>
                <w:rFonts w:ascii="Verdana" w:eastAsia="Calibri" w:hAnsi="Verdana" w:cs="Times New Roman"/>
                <w:color w:val="FF0000"/>
                <w:sz w:val="20"/>
                <w:szCs w:val="20"/>
                <w:lang w:val="en-IE"/>
              </w:rPr>
            </w:pPr>
            <w:r w:rsidRPr="00410205">
              <w:rPr>
                <w:rFonts w:ascii="Verdana" w:eastAsia="Calibri" w:hAnsi="Verdana" w:cs="Times New Roman"/>
                <w:sz w:val="20"/>
                <w:szCs w:val="20"/>
                <w:lang w:val="en-IE"/>
              </w:rPr>
              <w:t xml:space="preserve">Moreover, complaints may also be submitted to the Equality Authority under the Ombudsman’s Office, to the Central Election Service, or any organization protecting the </w:t>
            </w:r>
            <w:r w:rsidRPr="00410205">
              <w:rPr>
                <w:rFonts w:ascii="Verdana" w:eastAsia="Calibri" w:hAnsi="Verdana" w:cs="Times New Roman"/>
                <w:sz w:val="20"/>
                <w:szCs w:val="20"/>
                <w:lang w:val="en-IE"/>
              </w:rPr>
              <w:lastRenderedPageBreak/>
              <w:t>rights of the persons with disabilities</w:t>
            </w:r>
            <w:r w:rsidRPr="00410205">
              <w:rPr>
                <w:rFonts w:ascii="Verdana" w:eastAsia="Calibri" w:hAnsi="Verdana" w:cs="Times New Roman"/>
                <w:color w:val="FF0000"/>
                <w:sz w:val="20"/>
                <w:szCs w:val="20"/>
                <w:lang w:val="en-IE"/>
              </w:rPr>
              <w:t xml:space="preserve">. </w:t>
            </w:r>
          </w:p>
          <w:p w14:paraId="78321707" w14:textId="77777777" w:rsidR="00382023" w:rsidRPr="00410205" w:rsidRDefault="00382023" w:rsidP="004E38DF">
            <w:pPr>
              <w:spacing w:before="240"/>
              <w:contextualSpacing/>
              <w:jc w:val="both"/>
              <w:rPr>
                <w:rFonts w:ascii="Verdana" w:eastAsia="Calibri" w:hAnsi="Verdana" w:cs="Times New Roman"/>
                <w:sz w:val="20"/>
                <w:szCs w:val="20"/>
                <w:lang w:val="en-IE"/>
              </w:rPr>
            </w:pPr>
          </w:p>
          <w:p w14:paraId="34AA5AC9" w14:textId="77777777" w:rsidR="00382023" w:rsidRPr="00410205" w:rsidRDefault="00382023" w:rsidP="00903048">
            <w:pPr>
              <w:spacing w:before="240"/>
              <w:contextualSpacing/>
              <w:jc w:val="both"/>
              <w:rPr>
                <w:rFonts w:ascii="Verdana" w:eastAsia="Calibri" w:hAnsi="Verdana" w:cs="Times New Roman"/>
                <w:sz w:val="20"/>
                <w:szCs w:val="20"/>
                <w:lang w:val="en-IE"/>
              </w:rPr>
            </w:pPr>
            <w:r w:rsidRPr="00410205">
              <w:rPr>
                <w:rFonts w:ascii="Verdana" w:hAnsi="Verdana"/>
                <w:sz w:val="20"/>
                <w:szCs w:val="20"/>
                <w:lang w:val="en-IE"/>
              </w:rPr>
              <w:t>Even though persons with disabilities are not deprived of their legal capacity, theoretically all persons with disabilities have access to redress mechanisms and complaint mechanisms. In practice, there are no data indicating that such mechanisms are actually used.</w:t>
            </w:r>
            <w:r w:rsidRPr="00410205">
              <w:rPr>
                <w:rFonts w:ascii="Verdana" w:eastAsia="Calibri" w:hAnsi="Verdana" w:cs="Times New Roman"/>
                <w:sz w:val="20"/>
                <w:szCs w:val="20"/>
                <w:lang w:val="en-IE"/>
              </w:rPr>
              <w:t xml:space="preserve"> </w:t>
            </w:r>
          </w:p>
          <w:p w14:paraId="16F61B09" w14:textId="77777777" w:rsidR="00382023" w:rsidRPr="00410205" w:rsidRDefault="00382023" w:rsidP="00903048">
            <w:pPr>
              <w:spacing w:before="240"/>
              <w:contextualSpacing/>
              <w:jc w:val="both"/>
              <w:rPr>
                <w:rFonts w:ascii="Verdana" w:eastAsia="Calibri" w:hAnsi="Verdana" w:cs="Times New Roman"/>
                <w:sz w:val="20"/>
                <w:szCs w:val="20"/>
                <w:lang w:val="en-IE"/>
              </w:rPr>
            </w:pPr>
          </w:p>
          <w:p w14:paraId="12DB4B11" w14:textId="62B97E6B" w:rsidR="00382023" w:rsidRPr="00410205" w:rsidRDefault="00382023" w:rsidP="00903048">
            <w:pPr>
              <w:spacing w:before="240"/>
              <w:contextualSpacing/>
              <w:jc w:val="both"/>
              <w:rPr>
                <w:rFonts w:ascii="Verdana" w:eastAsia="Calibri" w:hAnsi="Verdana" w:cs="Times New Roman"/>
                <w:sz w:val="20"/>
                <w:szCs w:val="20"/>
                <w:lang w:val="en-IE"/>
              </w:rPr>
            </w:pPr>
            <w:r w:rsidRPr="00410205">
              <w:rPr>
                <w:rFonts w:ascii="Verdana" w:eastAsia="Calibri" w:hAnsi="Verdana" w:cs="Times New Roman"/>
                <w:sz w:val="20"/>
                <w:szCs w:val="20"/>
                <w:lang w:val="en-IE"/>
              </w:rPr>
              <w:t>Moreover, according to the Central Election Service there is no legal basis for depriving legal capacity of persons anymore, so no information was given regarding this question.</w:t>
            </w:r>
            <w:r w:rsidRPr="00410205">
              <w:rPr>
                <w:rStyle w:val="FootnoteReference"/>
                <w:rFonts w:ascii="Verdana" w:eastAsia="Calibri" w:hAnsi="Verdana" w:cs="Times New Roman"/>
                <w:sz w:val="20"/>
                <w:szCs w:val="20"/>
                <w:lang w:val="en-IE"/>
              </w:rPr>
              <w:footnoteReference w:id="24"/>
            </w:r>
            <w:r w:rsidRPr="00410205">
              <w:rPr>
                <w:rFonts w:ascii="Verdana" w:eastAsia="Calibri" w:hAnsi="Verdana" w:cs="Times New Roman"/>
                <w:sz w:val="20"/>
                <w:szCs w:val="20"/>
                <w:lang w:val="en-IE"/>
              </w:rPr>
              <w:t xml:space="preserve"> </w:t>
            </w:r>
          </w:p>
        </w:tc>
      </w:tr>
    </w:tbl>
    <w:p w14:paraId="12DB4B15" w14:textId="77777777" w:rsidR="00912C69" w:rsidRPr="00410205" w:rsidRDefault="005F45ED" w:rsidP="004E38DF">
      <w:pPr>
        <w:numPr>
          <w:ilvl w:val="0"/>
          <w:numId w:val="6"/>
        </w:numPr>
        <w:spacing w:after="0" w:line="240" w:lineRule="auto"/>
        <w:ind w:left="567" w:hanging="567"/>
        <w:contextualSpacing/>
        <w:jc w:val="both"/>
        <w:rPr>
          <w:rFonts w:ascii="Verdana" w:eastAsia="Calibri" w:hAnsi="Verdana" w:cs="Times New Roman"/>
          <w:b/>
          <w:sz w:val="24"/>
          <w:szCs w:val="24"/>
          <w:lang w:val="en-IE"/>
        </w:rPr>
      </w:pPr>
      <w:r w:rsidRPr="00410205">
        <w:rPr>
          <w:rFonts w:ascii="Verdana" w:eastAsia="Calibri" w:hAnsi="Verdana" w:cs="Times New Roman"/>
          <w:b/>
          <w:sz w:val="24"/>
          <w:szCs w:val="24"/>
          <w:lang w:val="en-IE"/>
        </w:rPr>
        <w:lastRenderedPageBreak/>
        <w:t>PROCESS INDICATORS</w:t>
      </w:r>
    </w:p>
    <w:p w14:paraId="6646BCC0" w14:textId="77777777" w:rsidR="00903048" w:rsidRPr="00410205" w:rsidRDefault="00903048" w:rsidP="00903048">
      <w:pPr>
        <w:spacing w:after="0" w:line="240" w:lineRule="auto"/>
        <w:ind w:left="567"/>
        <w:contextualSpacing/>
        <w:jc w:val="both"/>
        <w:rPr>
          <w:rFonts w:ascii="Verdana" w:eastAsia="Calibri" w:hAnsi="Verdana" w:cs="Times New Roman"/>
          <w:b/>
          <w:sz w:val="24"/>
          <w:szCs w:val="24"/>
          <w:lang w:val="en-IE"/>
        </w:rPr>
      </w:pPr>
    </w:p>
    <w:p w14:paraId="12DB4B16" w14:textId="77777777" w:rsidR="00821E86" w:rsidRPr="00410205" w:rsidRDefault="00821E86" w:rsidP="004E38DF">
      <w:pPr>
        <w:spacing w:before="240" w:line="240" w:lineRule="auto"/>
        <w:contextualSpacing/>
        <w:jc w:val="both"/>
        <w:rPr>
          <w:rFonts w:ascii="Verdana" w:eastAsia="Calibri" w:hAnsi="Verdana" w:cs="Times New Roman"/>
          <w:sz w:val="20"/>
          <w:szCs w:val="20"/>
          <w:lang w:val="en-IE"/>
        </w:rPr>
      </w:pPr>
    </w:p>
    <w:tbl>
      <w:tblPr>
        <w:tblStyle w:val="TableGrid"/>
        <w:tblW w:w="4823" w:type="pct"/>
        <w:tblLook w:val="04A0" w:firstRow="1" w:lastRow="0" w:firstColumn="1" w:lastColumn="0" w:noHBand="0" w:noVBand="1"/>
      </w:tblPr>
      <w:tblGrid>
        <w:gridCol w:w="4315"/>
        <w:gridCol w:w="9357"/>
      </w:tblGrid>
      <w:tr w:rsidR="00382023" w:rsidRPr="00410205" w14:paraId="12DB4B1D" w14:textId="77777777" w:rsidTr="00382023">
        <w:trPr>
          <w:trHeight w:val="454"/>
        </w:trPr>
        <w:tc>
          <w:tcPr>
            <w:tcW w:w="1578" w:type="pct"/>
            <w:shd w:val="clear" w:color="auto" w:fill="C6D9F1" w:themeFill="text2" w:themeFillTint="33"/>
            <w:vAlign w:val="center"/>
          </w:tcPr>
          <w:p w14:paraId="12DB4B19" w14:textId="77777777" w:rsidR="00382023" w:rsidRPr="00410205" w:rsidRDefault="00382023" w:rsidP="004E38DF">
            <w:pPr>
              <w:spacing w:before="240"/>
              <w:contextualSpacing/>
              <w:jc w:val="both"/>
              <w:rPr>
                <w:rFonts w:ascii="Verdana" w:eastAsia="Calibri" w:hAnsi="Verdana" w:cs="Times New Roman"/>
                <w:b/>
                <w:sz w:val="20"/>
                <w:szCs w:val="20"/>
                <w:lang w:val="en-IE"/>
              </w:rPr>
            </w:pPr>
            <w:r w:rsidRPr="00410205">
              <w:rPr>
                <w:rFonts w:ascii="Verdana" w:eastAsia="Calibri" w:hAnsi="Verdana" w:cs="Times New Roman"/>
                <w:b/>
                <w:sz w:val="20"/>
                <w:szCs w:val="20"/>
                <w:lang w:val="en-IE"/>
              </w:rPr>
              <w:t>Process indicators</w:t>
            </w:r>
          </w:p>
        </w:tc>
        <w:tc>
          <w:tcPr>
            <w:tcW w:w="3422" w:type="pct"/>
            <w:shd w:val="clear" w:color="auto" w:fill="C6D9F1" w:themeFill="text2" w:themeFillTint="33"/>
            <w:vAlign w:val="center"/>
          </w:tcPr>
          <w:p w14:paraId="12DB4B1C" w14:textId="77777777" w:rsidR="00382023" w:rsidRPr="00410205" w:rsidRDefault="00382023" w:rsidP="004E38DF">
            <w:pPr>
              <w:spacing w:before="240"/>
              <w:contextualSpacing/>
              <w:jc w:val="both"/>
              <w:rPr>
                <w:rFonts w:ascii="Verdana" w:eastAsia="Calibri" w:hAnsi="Verdana" w:cs="Times New Roman"/>
                <w:b/>
                <w:sz w:val="20"/>
                <w:szCs w:val="20"/>
                <w:lang w:val="en-IE"/>
              </w:rPr>
            </w:pPr>
            <w:r w:rsidRPr="00410205">
              <w:rPr>
                <w:rFonts w:ascii="Verdana" w:eastAsia="Calibri" w:hAnsi="Verdana" w:cs="Times New Roman"/>
                <w:b/>
                <w:sz w:val="20"/>
                <w:szCs w:val="20"/>
                <w:lang w:val="en-IE"/>
              </w:rPr>
              <w:t>Source and supporting information</w:t>
            </w:r>
          </w:p>
        </w:tc>
      </w:tr>
      <w:tr w:rsidR="00382023" w:rsidRPr="00410205" w14:paraId="12DB4B2B" w14:textId="77777777" w:rsidTr="00382023">
        <w:trPr>
          <w:trHeight w:val="454"/>
        </w:trPr>
        <w:tc>
          <w:tcPr>
            <w:tcW w:w="1578" w:type="pct"/>
            <w:shd w:val="clear" w:color="auto" w:fill="auto"/>
            <w:vAlign w:val="center"/>
          </w:tcPr>
          <w:p w14:paraId="12DB4B1F" w14:textId="77777777" w:rsidR="00382023" w:rsidRPr="00410205" w:rsidRDefault="00382023" w:rsidP="004E38DF">
            <w:pPr>
              <w:spacing w:before="240"/>
              <w:contextualSpacing/>
              <w:jc w:val="both"/>
              <w:rPr>
                <w:rFonts w:ascii="Verdana" w:eastAsia="Calibri" w:hAnsi="Verdana" w:cs="Times New Roman"/>
                <w:sz w:val="20"/>
                <w:szCs w:val="20"/>
                <w:lang w:val="en-IE"/>
              </w:rPr>
            </w:pPr>
            <w:r w:rsidRPr="00410205">
              <w:rPr>
                <w:rFonts w:ascii="Verdana" w:eastAsia="Calibri" w:hAnsi="Verdana" w:cs="Times New Roman"/>
                <w:sz w:val="20"/>
                <w:szCs w:val="20"/>
                <w:lang w:val="en-IE"/>
              </w:rPr>
              <w:t>Are there mechanisms in place to ensure that disabled people’s organisations (DPOs) are consulted and involved in the development of laws and policies in electoral matters? Please give details of the mechanisms through which DPOs are involved.</w:t>
            </w:r>
          </w:p>
        </w:tc>
        <w:tc>
          <w:tcPr>
            <w:tcW w:w="3422" w:type="pct"/>
          </w:tcPr>
          <w:p w14:paraId="755AE537" w14:textId="510132FD" w:rsidR="00382023" w:rsidRPr="00410205" w:rsidRDefault="00382023" w:rsidP="004E38DF">
            <w:pPr>
              <w:jc w:val="both"/>
              <w:rPr>
                <w:rFonts w:ascii="Verdana" w:hAnsi="Verdana"/>
                <w:sz w:val="20"/>
                <w:szCs w:val="20"/>
                <w:lang w:val="en-IE"/>
              </w:rPr>
            </w:pPr>
            <w:r w:rsidRPr="00410205">
              <w:rPr>
                <w:rFonts w:ascii="Verdana" w:hAnsi="Verdana"/>
                <w:sz w:val="20"/>
                <w:szCs w:val="20"/>
                <w:lang w:val="en-IE"/>
              </w:rPr>
              <w:t>The Consultation process between the Government and other Services for issues concerning Persons with Disabilities Law of 2006 (L.143 (I) / 2006)</w:t>
            </w:r>
            <w:r w:rsidRPr="00410205">
              <w:rPr>
                <w:rFonts w:ascii="Verdana" w:hAnsi="Verdana"/>
                <w:sz w:val="20"/>
                <w:szCs w:val="20"/>
                <w:vertAlign w:val="superscript"/>
                <w:lang w:val="en-IE"/>
              </w:rPr>
              <w:footnoteReference w:id="25"/>
            </w:r>
            <w:r w:rsidRPr="00410205">
              <w:rPr>
                <w:rFonts w:ascii="Verdana" w:hAnsi="Verdana"/>
                <w:sz w:val="20"/>
                <w:szCs w:val="20"/>
                <w:lang w:val="en-IE"/>
              </w:rPr>
              <w:t xml:space="preserve">, defines the Cyprus Confederation of Organizations of the Disabled as the social partner of the state and provides that each Public Service/Department consults with the Confederation on decisions that directly or indirectly affect persons with disabilities. The confederation has nine disabled people’s organizations (DPOs) as members , such as the </w:t>
            </w:r>
            <w:proofErr w:type="spellStart"/>
            <w:r w:rsidRPr="00410205">
              <w:rPr>
                <w:rFonts w:ascii="Verdana" w:hAnsi="Verdana"/>
                <w:sz w:val="20"/>
                <w:szCs w:val="20"/>
                <w:lang w:val="en-IE"/>
              </w:rPr>
              <w:t>Pancyprian</w:t>
            </w:r>
            <w:proofErr w:type="spellEnd"/>
            <w:r w:rsidRPr="00410205">
              <w:rPr>
                <w:rFonts w:ascii="Verdana" w:hAnsi="Verdana"/>
                <w:sz w:val="20"/>
                <w:szCs w:val="20"/>
                <w:lang w:val="en-IE"/>
              </w:rPr>
              <w:t xml:space="preserve"> Blind People Organization, </w:t>
            </w:r>
            <w:proofErr w:type="spellStart"/>
            <w:r w:rsidRPr="00410205">
              <w:rPr>
                <w:rFonts w:ascii="Verdana" w:hAnsi="Verdana"/>
                <w:sz w:val="20"/>
                <w:szCs w:val="20"/>
                <w:lang w:val="en-IE"/>
              </w:rPr>
              <w:t>Pancyprian</w:t>
            </w:r>
            <w:proofErr w:type="spellEnd"/>
            <w:r w:rsidRPr="00410205">
              <w:rPr>
                <w:rFonts w:ascii="Verdana" w:hAnsi="Verdana"/>
                <w:sz w:val="20"/>
                <w:szCs w:val="20"/>
                <w:lang w:val="en-IE"/>
              </w:rPr>
              <w:t xml:space="preserve"> Organization for the Rehabilitation of Disabled People, Cyprus Paraplegic Association etc.</w:t>
            </w:r>
            <w:r w:rsidRPr="00410205">
              <w:rPr>
                <w:rFonts w:ascii="Verdana" w:hAnsi="Verdana"/>
                <w:sz w:val="20"/>
                <w:szCs w:val="20"/>
                <w:vertAlign w:val="superscript"/>
                <w:lang w:val="en-IE"/>
              </w:rPr>
              <w:footnoteReference w:id="26"/>
            </w:r>
            <w:r w:rsidRPr="00410205">
              <w:rPr>
                <w:rFonts w:ascii="Verdana" w:hAnsi="Verdana"/>
                <w:sz w:val="20"/>
                <w:szCs w:val="20"/>
                <w:lang w:val="en-IE"/>
              </w:rPr>
              <w:t xml:space="preserve"> </w:t>
            </w:r>
          </w:p>
          <w:p w14:paraId="3B187088" w14:textId="77777777" w:rsidR="00382023" w:rsidRPr="00410205" w:rsidRDefault="00382023" w:rsidP="004E38DF">
            <w:pPr>
              <w:jc w:val="both"/>
              <w:rPr>
                <w:rFonts w:ascii="Verdana" w:hAnsi="Verdana"/>
                <w:sz w:val="20"/>
                <w:szCs w:val="20"/>
                <w:lang w:val="en-IE"/>
              </w:rPr>
            </w:pPr>
          </w:p>
          <w:p w14:paraId="33A1ED7F" w14:textId="61A6A47D" w:rsidR="00382023" w:rsidRPr="00410205" w:rsidRDefault="00382023" w:rsidP="004E38DF">
            <w:pPr>
              <w:jc w:val="both"/>
              <w:rPr>
                <w:rFonts w:ascii="Verdana" w:hAnsi="Verdana"/>
                <w:sz w:val="20"/>
                <w:szCs w:val="20"/>
                <w:lang w:val="en-IE"/>
              </w:rPr>
            </w:pPr>
            <w:r w:rsidRPr="00410205">
              <w:rPr>
                <w:rFonts w:ascii="Verdana" w:hAnsi="Verdana"/>
                <w:sz w:val="20"/>
                <w:szCs w:val="20"/>
                <w:lang w:val="en-IE"/>
              </w:rPr>
              <w:t>Furthermore, aiming at the implementation of Article 33 of the Convention for the Rights of Persons with Disabilities which was ratified in the national law in 2011, three mechanisms responsible for the implementation and monitoring of the Convention were set up after the Council of Ministers decision on 9/5/12</w:t>
            </w:r>
            <w:r w:rsidRPr="00410205">
              <w:rPr>
                <w:rFonts w:ascii="Verdana" w:hAnsi="Verdana"/>
                <w:sz w:val="20"/>
                <w:szCs w:val="20"/>
                <w:vertAlign w:val="superscript"/>
                <w:lang w:val="en-IE"/>
              </w:rPr>
              <w:footnoteReference w:id="27"/>
            </w:r>
            <w:r w:rsidRPr="00410205">
              <w:rPr>
                <w:rFonts w:ascii="Verdana" w:hAnsi="Verdana"/>
                <w:sz w:val="20"/>
                <w:szCs w:val="20"/>
                <w:lang w:val="en-IE"/>
              </w:rPr>
              <w:t xml:space="preserve">: </w:t>
            </w:r>
          </w:p>
          <w:p w14:paraId="15E52D10" w14:textId="77777777" w:rsidR="00382023" w:rsidRPr="00410205" w:rsidRDefault="00382023" w:rsidP="004E38DF">
            <w:pPr>
              <w:numPr>
                <w:ilvl w:val="0"/>
                <w:numId w:val="14"/>
              </w:numPr>
              <w:jc w:val="both"/>
              <w:rPr>
                <w:rFonts w:ascii="Verdana" w:hAnsi="Verdana"/>
                <w:sz w:val="20"/>
                <w:szCs w:val="20"/>
                <w:lang w:val="en-IE"/>
              </w:rPr>
            </w:pPr>
            <w:r w:rsidRPr="00410205">
              <w:rPr>
                <w:rFonts w:ascii="Verdana" w:hAnsi="Verdana"/>
                <w:sz w:val="20"/>
                <w:szCs w:val="20"/>
                <w:lang w:val="en-IE"/>
              </w:rPr>
              <w:lastRenderedPageBreak/>
              <w:t>The Department for Social Inclusion of Persons with Disabilities was designated as the focal point within the government for matters relating to the implementation of the Convention.</w:t>
            </w:r>
          </w:p>
          <w:p w14:paraId="13FE71EB" w14:textId="77777777" w:rsidR="00382023" w:rsidRPr="00410205" w:rsidRDefault="00382023" w:rsidP="004E38DF">
            <w:pPr>
              <w:numPr>
                <w:ilvl w:val="0"/>
                <w:numId w:val="14"/>
              </w:numPr>
              <w:jc w:val="both"/>
              <w:rPr>
                <w:rFonts w:ascii="Verdana" w:hAnsi="Verdana"/>
                <w:sz w:val="20"/>
                <w:szCs w:val="20"/>
                <w:lang w:val="en-IE"/>
              </w:rPr>
            </w:pPr>
            <w:r w:rsidRPr="00410205">
              <w:rPr>
                <w:rFonts w:ascii="Verdana" w:hAnsi="Verdana"/>
                <w:sz w:val="20"/>
                <w:szCs w:val="20"/>
                <w:lang w:val="en-IE"/>
              </w:rPr>
              <w:t xml:space="preserve">The </w:t>
            </w:r>
            <w:proofErr w:type="spellStart"/>
            <w:r w:rsidRPr="00410205">
              <w:rPr>
                <w:rFonts w:ascii="Verdana" w:hAnsi="Verdana"/>
                <w:sz w:val="20"/>
                <w:szCs w:val="20"/>
                <w:lang w:val="en-IE"/>
              </w:rPr>
              <w:t>Pancyprian</w:t>
            </w:r>
            <w:proofErr w:type="spellEnd"/>
            <w:r w:rsidRPr="00410205">
              <w:rPr>
                <w:rFonts w:ascii="Verdana" w:hAnsi="Verdana"/>
                <w:sz w:val="20"/>
                <w:szCs w:val="20"/>
                <w:lang w:val="en-IE"/>
              </w:rPr>
              <w:t xml:space="preserve"> Council for Persons with Disabilities is the coordination mechanism within the government to facilitate related actions in different sectors and at different levels for the implementation of the Convention.</w:t>
            </w:r>
          </w:p>
          <w:p w14:paraId="2364F334" w14:textId="76685858" w:rsidR="00382023" w:rsidRPr="00410205" w:rsidRDefault="00382023" w:rsidP="004E38DF">
            <w:pPr>
              <w:numPr>
                <w:ilvl w:val="0"/>
                <w:numId w:val="14"/>
              </w:numPr>
              <w:jc w:val="both"/>
              <w:rPr>
                <w:rFonts w:ascii="Verdana" w:hAnsi="Verdana"/>
                <w:sz w:val="20"/>
                <w:szCs w:val="20"/>
                <w:lang w:val="en-IE"/>
              </w:rPr>
            </w:pPr>
            <w:r w:rsidRPr="00410205">
              <w:rPr>
                <w:rFonts w:ascii="Verdana" w:hAnsi="Verdana"/>
                <w:sz w:val="20"/>
                <w:szCs w:val="20"/>
                <w:lang w:val="en-IE"/>
              </w:rPr>
              <w:t>The Ombudsman and Commissioner for the Protection of Human Rights - Equality Authority has been nominated as the independent mechanism for the promotion, protection and monitoring of the implementation of the Convention.</w:t>
            </w:r>
            <w:r w:rsidRPr="00410205">
              <w:rPr>
                <w:rFonts w:ascii="Verdana" w:hAnsi="Verdana"/>
                <w:sz w:val="20"/>
                <w:szCs w:val="20"/>
                <w:vertAlign w:val="superscript"/>
                <w:lang w:val="en-IE"/>
              </w:rPr>
              <w:footnoteReference w:id="28"/>
            </w:r>
          </w:p>
          <w:p w14:paraId="12DB4B2A" w14:textId="2D04A098" w:rsidR="00382023" w:rsidRPr="00410205" w:rsidRDefault="00382023" w:rsidP="004E38DF">
            <w:pPr>
              <w:spacing w:before="240"/>
              <w:contextualSpacing/>
              <w:jc w:val="both"/>
              <w:rPr>
                <w:rFonts w:ascii="Verdana" w:hAnsi="Verdana"/>
                <w:iCs/>
                <w:sz w:val="20"/>
                <w:szCs w:val="20"/>
                <w:lang w:val="en-IE"/>
              </w:rPr>
            </w:pPr>
            <w:proofErr w:type="spellStart"/>
            <w:r w:rsidRPr="00410205">
              <w:rPr>
                <w:rFonts w:ascii="Verdana" w:hAnsi="Verdana"/>
                <w:iCs/>
                <w:sz w:val="20"/>
                <w:szCs w:val="20"/>
                <w:lang w:val="en-IE"/>
              </w:rPr>
              <w:t>Τhe</w:t>
            </w:r>
            <w:proofErr w:type="spellEnd"/>
            <w:r w:rsidRPr="00410205">
              <w:rPr>
                <w:rFonts w:ascii="Verdana" w:hAnsi="Verdana"/>
                <w:iCs/>
                <w:sz w:val="20"/>
                <w:szCs w:val="20"/>
                <w:lang w:val="en-IE"/>
              </w:rPr>
              <w:t xml:space="preserve"> Persons with Disabilities Law provides that </w:t>
            </w:r>
            <w:r w:rsidRPr="00410205">
              <w:rPr>
                <w:rFonts w:ascii="Verdana" w:eastAsia="Calibri" w:hAnsi="Verdana" w:cs="Times New Roman"/>
                <w:sz w:val="20"/>
                <w:szCs w:val="20"/>
                <w:lang w:val="en-IE"/>
              </w:rPr>
              <w:t>members of the</w:t>
            </w:r>
            <w:r w:rsidRPr="00410205">
              <w:rPr>
                <w:rFonts w:ascii="Verdana" w:hAnsi="Verdana"/>
                <w:sz w:val="20"/>
                <w:szCs w:val="20"/>
                <w:lang w:val="en-IE"/>
              </w:rPr>
              <w:t xml:space="preserve"> </w:t>
            </w:r>
            <w:proofErr w:type="spellStart"/>
            <w:r w:rsidRPr="00410205">
              <w:rPr>
                <w:rFonts w:ascii="Verdana" w:hAnsi="Verdana"/>
                <w:sz w:val="20"/>
                <w:szCs w:val="20"/>
                <w:lang w:val="en-IE"/>
              </w:rPr>
              <w:t>Pancyprian</w:t>
            </w:r>
            <w:proofErr w:type="spellEnd"/>
            <w:r w:rsidRPr="00410205">
              <w:rPr>
                <w:rFonts w:ascii="Verdana" w:hAnsi="Verdana"/>
                <w:sz w:val="20"/>
                <w:szCs w:val="20"/>
                <w:lang w:val="en-IE"/>
              </w:rPr>
              <w:t xml:space="preserve"> Council for Persons with Disabilities (coordination mechanism within the government to facilitate related actions in different sectors for the implementation of the Convention)</w:t>
            </w:r>
            <w:r w:rsidRPr="00410205">
              <w:rPr>
                <w:rFonts w:ascii="Verdana" w:eastAsia="Calibri" w:hAnsi="Verdana" w:cs="Times New Roman"/>
                <w:sz w:val="20"/>
                <w:szCs w:val="20"/>
                <w:lang w:val="en-IE"/>
              </w:rPr>
              <w:t xml:space="preserve"> shall be , inter alia, composed of four </w:t>
            </w:r>
            <w:r w:rsidRPr="00410205">
              <w:rPr>
                <w:rFonts w:ascii="Verdana" w:hAnsi="Verdana"/>
                <w:sz w:val="20"/>
                <w:szCs w:val="20"/>
                <w:lang w:val="en-IE"/>
              </w:rPr>
              <w:t>representatives of disabled people’s organisations</w:t>
            </w:r>
            <w:r w:rsidRPr="00410205">
              <w:rPr>
                <w:rStyle w:val="FootnoteReference"/>
                <w:rFonts w:ascii="Verdana" w:hAnsi="Verdana"/>
                <w:sz w:val="20"/>
                <w:szCs w:val="20"/>
                <w:lang w:val="en-IE"/>
              </w:rPr>
              <w:footnoteReference w:id="29"/>
            </w:r>
            <w:r w:rsidRPr="00410205">
              <w:rPr>
                <w:rFonts w:ascii="Verdana" w:hAnsi="Verdana"/>
                <w:sz w:val="20"/>
                <w:szCs w:val="20"/>
                <w:lang w:val="en-IE"/>
              </w:rPr>
              <w:t>,</w:t>
            </w:r>
            <w:r w:rsidRPr="00410205">
              <w:rPr>
                <w:rFonts w:ascii="Verdana" w:hAnsi="Verdana"/>
                <w:sz w:val="20"/>
                <w:szCs w:val="20"/>
                <w:vertAlign w:val="superscript"/>
                <w:lang w:val="en-IE"/>
              </w:rPr>
              <w:footnoteReference w:id="30"/>
            </w:r>
            <w:r w:rsidRPr="00410205">
              <w:rPr>
                <w:rFonts w:ascii="Verdana" w:hAnsi="Verdana"/>
                <w:sz w:val="20"/>
                <w:szCs w:val="20"/>
                <w:lang w:val="en-IE"/>
              </w:rPr>
              <w:t>.</w:t>
            </w:r>
            <w:r w:rsidRPr="00410205">
              <w:rPr>
                <w:rFonts w:ascii="Verdana" w:hAnsi="Verdana"/>
                <w:iCs/>
                <w:sz w:val="20"/>
                <w:szCs w:val="20"/>
                <w:lang w:val="en-IE"/>
              </w:rPr>
              <w:t xml:space="preserve"> </w:t>
            </w:r>
          </w:p>
        </w:tc>
      </w:tr>
      <w:tr w:rsidR="00382023" w:rsidRPr="00410205" w14:paraId="12DB4B33" w14:textId="77777777" w:rsidTr="00382023">
        <w:trPr>
          <w:trHeight w:val="454"/>
        </w:trPr>
        <w:tc>
          <w:tcPr>
            <w:tcW w:w="1578" w:type="pct"/>
            <w:shd w:val="clear" w:color="auto" w:fill="auto"/>
            <w:vAlign w:val="center"/>
          </w:tcPr>
          <w:p w14:paraId="12DB4B2D" w14:textId="77777777" w:rsidR="00382023" w:rsidRPr="00410205" w:rsidRDefault="00382023" w:rsidP="004E38DF">
            <w:pPr>
              <w:spacing w:before="240"/>
              <w:contextualSpacing/>
              <w:jc w:val="both"/>
              <w:rPr>
                <w:rFonts w:ascii="Verdana" w:eastAsia="Calibri" w:hAnsi="Verdana" w:cs="Times New Roman"/>
                <w:sz w:val="20"/>
                <w:szCs w:val="20"/>
                <w:lang w:val="en-IE"/>
              </w:rPr>
            </w:pPr>
            <w:r w:rsidRPr="00410205">
              <w:rPr>
                <w:rFonts w:ascii="Verdana" w:eastAsia="Calibri" w:hAnsi="Verdana" w:cs="Times New Roman"/>
                <w:sz w:val="20"/>
                <w:szCs w:val="20"/>
                <w:lang w:val="en-IE"/>
              </w:rPr>
              <w:lastRenderedPageBreak/>
              <w:t>Is information about how and where to complain in the case of problems with exercising the right to political participation accessible to all persons with disabilities?</w:t>
            </w:r>
            <w:r w:rsidRPr="00410205">
              <w:rPr>
                <w:rStyle w:val="FootnoteReference"/>
                <w:rFonts w:ascii="Verdana" w:eastAsia="Calibri" w:hAnsi="Verdana" w:cs="Times New Roman"/>
                <w:sz w:val="20"/>
                <w:szCs w:val="20"/>
                <w:lang w:val="en-IE"/>
              </w:rPr>
              <w:footnoteReference w:id="31"/>
            </w:r>
          </w:p>
        </w:tc>
        <w:tc>
          <w:tcPr>
            <w:tcW w:w="3422" w:type="pct"/>
            <w:vAlign w:val="center"/>
          </w:tcPr>
          <w:p w14:paraId="12DB4B30" w14:textId="31F35060" w:rsidR="00382023" w:rsidRPr="00410205" w:rsidRDefault="00382023" w:rsidP="004E38DF">
            <w:pPr>
              <w:spacing w:before="240"/>
              <w:contextualSpacing/>
              <w:jc w:val="both"/>
              <w:rPr>
                <w:rFonts w:ascii="Verdana" w:eastAsia="Calibri" w:hAnsi="Verdana" w:cs="Times New Roman"/>
                <w:sz w:val="20"/>
                <w:szCs w:val="20"/>
                <w:lang w:val="en-IE"/>
              </w:rPr>
            </w:pPr>
            <w:r w:rsidRPr="00410205">
              <w:rPr>
                <w:rFonts w:ascii="Verdana" w:eastAsia="Calibri" w:hAnsi="Verdana" w:cs="Times New Roman"/>
                <w:sz w:val="20"/>
                <w:szCs w:val="20"/>
                <w:lang w:val="en-IE"/>
              </w:rPr>
              <w:t xml:space="preserve">The website of the Central Election Service does not have any information accessible to disabled or guidelines for submitting a complaint. On the other hand the Equality Authority’s website has some audio-visual information about discrimination issues (not about submitting a complaint), and it states that this website is compatible with the </w:t>
            </w:r>
            <w:hyperlink r:id="rId14" w:history="1">
              <w:r w:rsidRPr="00410205">
                <w:rPr>
                  <w:rStyle w:val="Hyperlink"/>
                  <w:rFonts w:ascii="Verdana" w:eastAsia="Calibri" w:hAnsi="Verdana" w:cs="Times New Roman"/>
                  <w:sz w:val="20"/>
                  <w:szCs w:val="20"/>
                  <w:lang w:val="en-IE"/>
                </w:rPr>
                <w:t>Web Content Accessibility Guidelines (WCAG) 2.0</w:t>
              </w:r>
            </w:hyperlink>
            <w:r w:rsidRPr="00410205">
              <w:rPr>
                <w:rFonts w:ascii="Verdana" w:eastAsia="Calibri" w:hAnsi="Verdana" w:cs="Times New Roman"/>
                <w:sz w:val="20"/>
                <w:szCs w:val="20"/>
                <w:lang w:val="en-IE"/>
              </w:rPr>
              <w:t xml:space="preserve"> AA standard.</w:t>
            </w:r>
            <w:r w:rsidRPr="00410205">
              <w:rPr>
                <w:rStyle w:val="FootnoteReference"/>
                <w:rFonts w:ascii="Verdana" w:eastAsia="Calibri" w:hAnsi="Verdana" w:cs="Times New Roman"/>
                <w:sz w:val="20"/>
                <w:szCs w:val="20"/>
                <w:lang w:val="en-IE"/>
              </w:rPr>
              <w:t xml:space="preserve"> </w:t>
            </w:r>
            <w:r w:rsidRPr="00410205">
              <w:rPr>
                <w:rStyle w:val="FootnoteReference"/>
                <w:rFonts w:ascii="Verdana" w:eastAsia="Calibri" w:hAnsi="Verdana" w:cs="Times New Roman"/>
                <w:sz w:val="20"/>
                <w:szCs w:val="20"/>
                <w:lang w:val="en-IE"/>
              </w:rPr>
              <w:footnoteReference w:id="32"/>
            </w:r>
            <w:r w:rsidRPr="00410205">
              <w:rPr>
                <w:rFonts w:ascii="Verdana" w:eastAsia="Calibri" w:hAnsi="Verdana" w:cs="Times New Roman"/>
                <w:sz w:val="20"/>
                <w:szCs w:val="20"/>
                <w:lang w:val="en-IE"/>
              </w:rPr>
              <w:t xml:space="preserve"> </w:t>
            </w:r>
          </w:p>
          <w:p w14:paraId="12DB4B31" w14:textId="5E5F4957" w:rsidR="00382023" w:rsidRPr="00410205" w:rsidRDefault="00382023" w:rsidP="004E38DF">
            <w:pPr>
              <w:spacing w:before="240"/>
              <w:contextualSpacing/>
              <w:jc w:val="both"/>
              <w:rPr>
                <w:rFonts w:ascii="Verdana" w:eastAsia="Calibri" w:hAnsi="Verdana" w:cs="Times New Roman"/>
                <w:sz w:val="20"/>
                <w:szCs w:val="20"/>
                <w:lang w:val="en-IE"/>
              </w:rPr>
            </w:pPr>
            <w:r w:rsidRPr="00410205">
              <w:rPr>
                <w:rFonts w:ascii="Verdana" w:eastAsia="Calibri" w:hAnsi="Verdana" w:cs="Times New Roman"/>
                <w:sz w:val="20"/>
                <w:szCs w:val="20"/>
                <w:lang w:val="en-IE"/>
              </w:rPr>
              <w:t>No information is available at polling stations regarding the submission of a complaint and where to address them.</w:t>
            </w:r>
            <w:r w:rsidRPr="00410205">
              <w:rPr>
                <w:rStyle w:val="FootnoteReference"/>
                <w:rFonts w:ascii="Verdana" w:eastAsia="Calibri" w:hAnsi="Verdana" w:cs="Times New Roman"/>
                <w:sz w:val="20"/>
                <w:szCs w:val="20"/>
                <w:lang w:val="en-IE"/>
              </w:rPr>
              <w:footnoteReference w:id="33"/>
            </w:r>
          </w:p>
          <w:p w14:paraId="12DB4B32" w14:textId="77777777" w:rsidR="00382023" w:rsidRPr="00410205" w:rsidRDefault="00382023" w:rsidP="004E38DF">
            <w:pPr>
              <w:spacing w:before="240"/>
              <w:contextualSpacing/>
              <w:jc w:val="both"/>
              <w:rPr>
                <w:rFonts w:ascii="Verdana" w:eastAsia="Calibri" w:hAnsi="Verdana" w:cs="Times New Roman"/>
                <w:sz w:val="20"/>
                <w:szCs w:val="20"/>
                <w:lang w:val="en-IE"/>
              </w:rPr>
            </w:pPr>
          </w:p>
        </w:tc>
      </w:tr>
      <w:tr w:rsidR="00382023" w:rsidRPr="00410205" w14:paraId="12DB4B39" w14:textId="77777777" w:rsidTr="00382023">
        <w:trPr>
          <w:trHeight w:val="454"/>
        </w:trPr>
        <w:tc>
          <w:tcPr>
            <w:tcW w:w="1578" w:type="pct"/>
            <w:shd w:val="clear" w:color="auto" w:fill="auto"/>
            <w:vAlign w:val="center"/>
          </w:tcPr>
          <w:p w14:paraId="44D305CE" w14:textId="77777777" w:rsidR="00382023" w:rsidRPr="00410205" w:rsidRDefault="00382023" w:rsidP="004E38DF">
            <w:pPr>
              <w:jc w:val="both"/>
              <w:rPr>
                <w:rFonts w:ascii="Verdana" w:hAnsi="Verdana"/>
                <w:sz w:val="20"/>
                <w:szCs w:val="20"/>
                <w:lang w:val="en-IE"/>
              </w:rPr>
            </w:pPr>
            <w:r w:rsidRPr="00410205">
              <w:rPr>
                <w:rFonts w:ascii="Verdana" w:hAnsi="Verdana"/>
                <w:sz w:val="20"/>
                <w:szCs w:val="20"/>
                <w:lang w:val="en-IE"/>
              </w:rPr>
              <w:lastRenderedPageBreak/>
              <w:t>Have national judicial redress mechanisms considered any cases related to the right to political participation of persons with disabilities?</w:t>
            </w:r>
          </w:p>
          <w:p w14:paraId="12DB4B35" w14:textId="5FDF79B4" w:rsidR="00382023" w:rsidRPr="00410205" w:rsidRDefault="00382023" w:rsidP="004E38DF">
            <w:pPr>
              <w:spacing w:before="240"/>
              <w:contextualSpacing/>
              <w:jc w:val="both"/>
              <w:rPr>
                <w:rFonts w:ascii="Verdana" w:hAnsi="Verdana"/>
                <w:sz w:val="20"/>
                <w:szCs w:val="20"/>
                <w:lang w:val="en-IE"/>
              </w:rPr>
            </w:pPr>
            <w:r w:rsidRPr="00410205">
              <w:rPr>
                <w:rFonts w:ascii="Verdana" w:hAnsi="Verdana"/>
                <w:sz w:val="20"/>
                <w:szCs w:val="20"/>
                <w:lang w:val="en-IE"/>
              </w:rPr>
              <w:t>Please give details of relevant case law and any available data on the number of such cases.</w:t>
            </w:r>
          </w:p>
        </w:tc>
        <w:tc>
          <w:tcPr>
            <w:tcW w:w="3422" w:type="pct"/>
            <w:vAlign w:val="center"/>
          </w:tcPr>
          <w:p w14:paraId="0595F917" w14:textId="1DC69168" w:rsidR="00382023" w:rsidRPr="00410205" w:rsidRDefault="00382023" w:rsidP="004E38DF">
            <w:pPr>
              <w:spacing w:before="240"/>
              <w:contextualSpacing/>
              <w:jc w:val="both"/>
              <w:rPr>
                <w:rFonts w:ascii="Verdana" w:eastAsia="Calibri" w:hAnsi="Verdana" w:cs="Times New Roman"/>
                <w:sz w:val="20"/>
                <w:szCs w:val="20"/>
                <w:lang w:val="en-IE"/>
              </w:rPr>
            </w:pPr>
            <w:r w:rsidRPr="00410205">
              <w:rPr>
                <w:rFonts w:ascii="Verdana" w:eastAsia="Calibri" w:hAnsi="Verdana" w:cs="Times New Roman"/>
                <w:sz w:val="20"/>
                <w:szCs w:val="20"/>
                <w:lang w:val="en-IE"/>
              </w:rPr>
              <w:t>No judicial decisions were found.</w:t>
            </w:r>
            <w:r w:rsidRPr="00410205">
              <w:rPr>
                <w:rStyle w:val="FootnoteReference"/>
                <w:rFonts w:ascii="Verdana" w:eastAsia="Calibri" w:hAnsi="Verdana" w:cs="Times New Roman"/>
                <w:sz w:val="20"/>
                <w:szCs w:val="20"/>
                <w:lang w:val="en-IE"/>
              </w:rPr>
              <w:footnoteReference w:id="34"/>
            </w:r>
          </w:p>
          <w:p w14:paraId="515D4EFF" w14:textId="77777777" w:rsidR="00382023" w:rsidRPr="00410205" w:rsidRDefault="00382023" w:rsidP="004E38DF">
            <w:pPr>
              <w:spacing w:before="240"/>
              <w:contextualSpacing/>
              <w:jc w:val="both"/>
              <w:rPr>
                <w:rFonts w:ascii="Verdana" w:eastAsia="Calibri" w:hAnsi="Verdana" w:cs="Times New Roman"/>
                <w:sz w:val="20"/>
                <w:szCs w:val="20"/>
                <w:lang w:val="en-IE"/>
              </w:rPr>
            </w:pPr>
          </w:p>
          <w:p w14:paraId="12DB4B38" w14:textId="43978BAD" w:rsidR="00382023" w:rsidRPr="00410205" w:rsidRDefault="00382023" w:rsidP="001A6990">
            <w:pPr>
              <w:spacing w:before="240"/>
              <w:contextualSpacing/>
              <w:jc w:val="both"/>
              <w:rPr>
                <w:rFonts w:ascii="Verdana" w:eastAsia="Calibri" w:hAnsi="Verdana" w:cs="Times New Roman"/>
                <w:sz w:val="20"/>
                <w:szCs w:val="20"/>
                <w:lang w:val="en-IE"/>
              </w:rPr>
            </w:pPr>
          </w:p>
        </w:tc>
      </w:tr>
      <w:tr w:rsidR="00382023" w:rsidRPr="00410205" w14:paraId="12DB4B3F" w14:textId="77777777" w:rsidTr="00382023">
        <w:trPr>
          <w:trHeight w:val="454"/>
        </w:trPr>
        <w:tc>
          <w:tcPr>
            <w:tcW w:w="1578" w:type="pct"/>
            <w:shd w:val="clear" w:color="auto" w:fill="auto"/>
            <w:vAlign w:val="center"/>
          </w:tcPr>
          <w:p w14:paraId="2A62FEA5" w14:textId="77777777" w:rsidR="00382023" w:rsidRPr="00410205" w:rsidRDefault="00382023" w:rsidP="004E38DF">
            <w:pPr>
              <w:jc w:val="both"/>
              <w:rPr>
                <w:rFonts w:ascii="Verdana" w:hAnsi="Verdana"/>
                <w:sz w:val="20"/>
                <w:szCs w:val="20"/>
                <w:lang w:val="en-IE"/>
              </w:rPr>
            </w:pPr>
            <w:r w:rsidRPr="00410205">
              <w:rPr>
                <w:rFonts w:ascii="Verdana" w:hAnsi="Verdana"/>
                <w:sz w:val="20"/>
                <w:szCs w:val="20"/>
                <w:lang w:val="en-IE"/>
              </w:rPr>
              <w:t xml:space="preserve">Have national non-judicial redress mechanisms (e.g. National Human Rights Institutions, Equality Bodies, </w:t>
            </w:r>
            <w:proofErr w:type="spellStart"/>
            <w:r w:rsidRPr="00410205">
              <w:rPr>
                <w:rFonts w:ascii="Verdana" w:hAnsi="Verdana"/>
                <w:sz w:val="20"/>
                <w:szCs w:val="20"/>
                <w:lang w:val="en-IE"/>
              </w:rPr>
              <w:t>Ombuds</w:t>
            </w:r>
            <w:proofErr w:type="spellEnd"/>
            <w:r w:rsidRPr="00410205">
              <w:rPr>
                <w:rFonts w:ascii="Verdana" w:hAnsi="Verdana"/>
                <w:sz w:val="20"/>
                <w:szCs w:val="20"/>
                <w:lang w:val="en-IE"/>
              </w:rPr>
              <w:t xml:space="preserve"> institutions) considered any cases related to the right to political participation of persons with disabilities?</w:t>
            </w:r>
          </w:p>
          <w:p w14:paraId="12DB4B3B" w14:textId="1B4CCF80" w:rsidR="00382023" w:rsidRPr="00410205" w:rsidRDefault="00382023" w:rsidP="004E38DF">
            <w:pPr>
              <w:spacing w:before="240"/>
              <w:contextualSpacing/>
              <w:jc w:val="both"/>
              <w:rPr>
                <w:rFonts w:ascii="Verdana" w:hAnsi="Verdana"/>
                <w:sz w:val="20"/>
                <w:szCs w:val="20"/>
                <w:lang w:val="en-IE"/>
              </w:rPr>
            </w:pPr>
            <w:r w:rsidRPr="00410205">
              <w:rPr>
                <w:rFonts w:ascii="Verdana" w:hAnsi="Verdana"/>
                <w:sz w:val="20"/>
                <w:szCs w:val="20"/>
                <w:lang w:val="en-IE"/>
              </w:rPr>
              <w:t>Please give details of relevant case law and any available data on the number of such cases.</w:t>
            </w:r>
          </w:p>
        </w:tc>
        <w:tc>
          <w:tcPr>
            <w:tcW w:w="3422" w:type="pct"/>
            <w:vAlign w:val="center"/>
          </w:tcPr>
          <w:p w14:paraId="4064B2EA" w14:textId="11FC8772" w:rsidR="00382023" w:rsidRPr="00410205" w:rsidRDefault="00382023" w:rsidP="001A6990">
            <w:pPr>
              <w:spacing w:before="240"/>
              <w:contextualSpacing/>
              <w:jc w:val="both"/>
              <w:rPr>
                <w:rFonts w:ascii="Verdana" w:eastAsia="Calibri" w:hAnsi="Verdana" w:cs="Times New Roman"/>
                <w:sz w:val="20"/>
                <w:szCs w:val="20"/>
                <w:lang w:val="en-IE"/>
              </w:rPr>
            </w:pPr>
            <w:r w:rsidRPr="00410205">
              <w:rPr>
                <w:rFonts w:ascii="Verdana" w:eastAsia="Calibri" w:hAnsi="Verdana" w:cs="Times New Roman"/>
                <w:sz w:val="20"/>
                <w:szCs w:val="20"/>
                <w:lang w:val="en-IE"/>
              </w:rPr>
              <w:t>No decisions were found.</w:t>
            </w:r>
            <w:r w:rsidRPr="00410205">
              <w:rPr>
                <w:rStyle w:val="FootnoteReference"/>
                <w:rFonts w:ascii="Verdana" w:eastAsia="Calibri" w:hAnsi="Verdana" w:cs="Times New Roman"/>
                <w:sz w:val="20"/>
                <w:szCs w:val="20"/>
                <w:lang w:val="en-IE"/>
              </w:rPr>
              <w:footnoteReference w:id="35"/>
            </w:r>
          </w:p>
          <w:p w14:paraId="0EACFD9B" w14:textId="77777777" w:rsidR="00382023" w:rsidRPr="00410205" w:rsidRDefault="00382023" w:rsidP="001A6990">
            <w:pPr>
              <w:spacing w:before="240"/>
              <w:contextualSpacing/>
              <w:jc w:val="both"/>
              <w:rPr>
                <w:rFonts w:ascii="Verdana" w:eastAsia="Calibri" w:hAnsi="Verdana" w:cs="Times New Roman"/>
                <w:sz w:val="20"/>
                <w:szCs w:val="20"/>
                <w:lang w:val="en-IE"/>
              </w:rPr>
            </w:pPr>
          </w:p>
          <w:p w14:paraId="12DB4B3E" w14:textId="079D17FB" w:rsidR="00382023" w:rsidRPr="00410205" w:rsidRDefault="00382023" w:rsidP="001A6990">
            <w:pPr>
              <w:spacing w:before="240"/>
              <w:contextualSpacing/>
              <w:jc w:val="both"/>
              <w:rPr>
                <w:rFonts w:ascii="Verdana" w:eastAsia="Calibri" w:hAnsi="Verdana" w:cs="Times New Roman"/>
                <w:sz w:val="20"/>
                <w:szCs w:val="20"/>
                <w:lang w:val="en-IE"/>
              </w:rPr>
            </w:pPr>
          </w:p>
        </w:tc>
      </w:tr>
    </w:tbl>
    <w:p w14:paraId="12DB4B40" w14:textId="77777777" w:rsidR="00225B23" w:rsidRPr="00410205" w:rsidRDefault="00225B23" w:rsidP="004E38DF">
      <w:pPr>
        <w:spacing w:after="0" w:line="240" w:lineRule="auto"/>
        <w:contextualSpacing/>
        <w:jc w:val="both"/>
        <w:rPr>
          <w:rFonts w:ascii="Verdana" w:eastAsia="Calibri" w:hAnsi="Verdana" w:cs="Times New Roman"/>
          <w:b/>
          <w:sz w:val="20"/>
          <w:szCs w:val="20"/>
          <w:lang w:val="en-IE"/>
        </w:rPr>
      </w:pPr>
    </w:p>
    <w:p w14:paraId="155DD90E" w14:textId="77777777" w:rsidR="001A6990" w:rsidRPr="00410205" w:rsidRDefault="001A6990" w:rsidP="001A6990">
      <w:pPr>
        <w:spacing w:after="0" w:line="240" w:lineRule="auto"/>
        <w:ind w:left="567"/>
        <w:contextualSpacing/>
        <w:jc w:val="both"/>
        <w:rPr>
          <w:rFonts w:ascii="Verdana" w:eastAsia="Calibri" w:hAnsi="Verdana" w:cs="Times New Roman"/>
          <w:b/>
          <w:sz w:val="24"/>
          <w:szCs w:val="24"/>
          <w:lang w:val="en-IE"/>
        </w:rPr>
      </w:pPr>
    </w:p>
    <w:p w14:paraId="12DB4B41" w14:textId="77777777" w:rsidR="00912C69" w:rsidRPr="00410205" w:rsidRDefault="00576099" w:rsidP="004E38DF">
      <w:pPr>
        <w:numPr>
          <w:ilvl w:val="0"/>
          <w:numId w:val="6"/>
        </w:numPr>
        <w:spacing w:after="0" w:line="240" w:lineRule="auto"/>
        <w:ind w:left="567" w:hanging="567"/>
        <w:contextualSpacing/>
        <w:jc w:val="both"/>
        <w:rPr>
          <w:rFonts w:ascii="Verdana" w:eastAsia="Calibri" w:hAnsi="Verdana" w:cs="Times New Roman"/>
          <w:b/>
          <w:sz w:val="24"/>
          <w:szCs w:val="24"/>
          <w:lang w:val="en-IE"/>
        </w:rPr>
      </w:pPr>
      <w:r w:rsidRPr="00410205">
        <w:rPr>
          <w:rFonts w:ascii="Verdana" w:eastAsia="Calibri" w:hAnsi="Verdana" w:cs="Times New Roman"/>
          <w:b/>
          <w:sz w:val="24"/>
          <w:szCs w:val="24"/>
          <w:lang w:val="en-IE"/>
        </w:rPr>
        <w:t>OUTCOME INDICATORS</w:t>
      </w:r>
    </w:p>
    <w:p w14:paraId="7126B858" w14:textId="77777777" w:rsidR="00903048" w:rsidRPr="00410205" w:rsidRDefault="00903048" w:rsidP="00903048">
      <w:pPr>
        <w:spacing w:after="0" w:line="240" w:lineRule="auto"/>
        <w:ind w:left="567"/>
        <w:contextualSpacing/>
        <w:jc w:val="both"/>
        <w:rPr>
          <w:rFonts w:ascii="Verdana" w:eastAsia="Calibri" w:hAnsi="Verdana" w:cs="Times New Roman"/>
          <w:b/>
          <w:sz w:val="24"/>
          <w:szCs w:val="24"/>
          <w:lang w:val="en-IE"/>
        </w:rPr>
      </w:pPr>
    </w:p>
    <w:p w14:paraId="120082C9" w14:textId="77777777" w:rsidR="006C3D15" w:rsidRPr="00410205" w:rsidRDefault="006C3D15" w:rsidP="004E38DF">
      <w:pPr>
        <w:spacing w:after="0" w:line="240" w:lineRule="auto"/>
        <w:ind w:left="567"/>
        <w:contextualSpacing/>
        <w:jc w:val="both"/>
        <w:rPr>
          <w:rFonts w:ascii="Verdana" w:eastAsia="Calibri" w:hAnsi="Verdana" w:cs="Times New Roman"/>
          <w:b/>
          <w:sz w:val="20"/>
          <w:szCs w:val="20"/>
          <w:lang w:val="en-IE"/>
        </w:rPr>
      </w:pPr>
    </w:p>
    <w:tbl>
      <w:tblPr>
        <w:tblStyle w:val="TableGrid"/>
        <w:tblW w:w="4800" w:type="pct"/>
        <w:tblInd w:w="-34" w:type="dxa"/>
        <w:tblLayout w:type="fixed"/>
        <w:tblLook w:val="04A0" w:firstRow="1" w:lastRow="0" w:firstColumn="1" w:lastColumn="0" w:noHBand="0" w:noVBand="1"/>
      </w:tblPr>
      <w:tblGrid>
        <w:gridCol w:w="4251"/>
        <w:gridCol w:w="9356"/>
      </w:tblGrid>
      <w:tr w:rsidR="00382023" w:rsidRPr="00410205" w14:paraId="12DB4B47" w14:textId="77777777" w:rsidTr="00382023">
        <w:trPr>
          <w:trHeight w:val="454"/>
        </w:trPr>
        <w:tc>
          <w:tcPr>
            <w:tcW w:w="1562" w:type="pct"/>
            <w:shd w:val="clear" w:color="auto" w:fill="C6D9F1" w:themeFill="text2" w:themeFillTint="33"/>
            <w:vAlign w:val="center"/>
          </w:tcPr>
          <w:p w14:paraId="12DB4B44" w14:textId="77777777" w:rsidR="00382023" w:rsidRPr="00410205" w:rsidRDefault="00382023" w:rsidP="004E38DF">
            <w:pPr>
              <w:spacing w:before="240"/>
              <w:contextualSpacing/>
              <w:jc w:val="both"/>
              <w:rPr>
                <w:rFonts w:ascii="Verdana" w:eastAsia="Calibri" w:hAnsi="Verdana" w:cs="Times New Roman"/>
                <w:b/>
                <w:sz w:val="20"/>
                <w:szCs w:val="20"/>
                <w:lang w:val="en-IE"/>
              </w:rPr>
            </w:pPr>
            <w:r w:rsidRPr="00410205">
              <w:rPr>
                <w:rFonts w:ascii="Verdana" w:eastAsia="Calibri" w:hAnsi="Verdana" w:cs="Times New Roman"/>
                <w:b/>
                <w:sz w:val="20"/>
                <w:szCs w:val="20"/>
                <w:lang w:val="en-IE"/>
              </w:rPr>
              <w:t>Outcome indicators</w:t>
            </w:r>
          </w:p>
        </w:tc>
        <w:tc>
          <w:tcPr>
            <w:tcW w:w="3438" w:type="pct"/>
            <w:shd w:val="clear" w:color="auto" w:fill="C6D9F1" w:themeFill="text2" w:themeFillTint="33"/>
            <w:vAlign w:val="center"/>
          </w:tcPr>
          <w:p w14:paraId="12DB4B46" w14:textId="77777777" w:rsidR="00382023" w:rsidRPr="00410205" w:rsidRDefault="00382023" w:rsidP="004E38DF">
            <w:pPr>
              <w:spacing w:before="240"/>
              <w:contextualSpacing/>
              <w:jc w:val="both"/>
              <w:rPr>
                <w:rFonts w:ascii="Verdana" w:eastAsia="Calibri" w:hAnsi="Verdana" w:cs="Times New Roman"/>
                <w:b/>
                <w:sz w:val="20"/>
                <w:szCs w:val="20"/>
                <w:lang w:val="en-IE"/>
              </w:rPr>
            </w:pPr>
            <w:r w:rsidRPr="00410205">
              <w:rPr>
                <w:rFonts w:ascii="Verdana" w:eastAsia="Calibri" w:hAnsi="Verdana" w:cs="Times New Roman"/>
                <w:b/>
                <w:sz w:val="20"/>
                <w:szCs w:val="20"/>
                <w:lang w:val="en-IE"/>
              </w:rPr>
              <w:t>Source and supporting information</w:t>
            </w:r>
          </w:p>
        </w:tc>
      </w:tr>
      <w:tr w:rsidR="00382023" w:rsidRPr="00410205" w14:paraId="12DB4B4C" w14:textId="77777777" w:rsidTr="00382023">
        <w:trPr>
          <w:trHeight w:val="454"/>
        </w:trPr>
        <w:tc>
          <w:tcPr>
            <w:tcW w:w="1562" w:type="pct"/>
            <w:shd w:val="clear" w:color="auto" w:fill="auto"/>
            <w:vAlign w:val="center"/>
          </w:tcPr>
          <w:p w14:paraId="12DB4B49" w14:textId="6CC1248F" w:rsidR="00382023" w:rsidRPr="00410205" w:rsidRDefault="00382023" w:rsidP="004E38DF">
            <w:pPr>
              <w:spacing w:before="240" w:after="200" w:line="276" w:lineRule="auto"/>
              <w:contextualSpacing/>
              <w:jc w:val="both"/>
              <w:rPr>
                <w:rFonts w:ascii="Verdana" w:hAnsi="Verdana" w:cs="Times New Roman"/>
                <w:sz w:val="20"/>
                <w:szCs w:val="20"/>
                <w:lang w:val="en-IE"/>
              </w:rPr>
            </w:pPr>
            <w:r w:rsidRPr="00410205">
              <w:rPr>
                <w:rFonts w:ascii="Verdana" w:hAnsi="Verdana" w:cs="Times New Roman"/>
                <w:sz w:val="20"/>
                <w:szCs w:val="20"/>
                <w:lang w:val="en-IE"/>
              </w:rPr>
              <w:t>How many members of the current national parliament identify as having a disability?</w:t>
            </w:r>
          </w:p>
        </w:tc>
        <w:tc>
          <w:tcPr>
            <w:tcW w:w="3438" w:type="pct"/>
            <w:vAlign w:val="center"/>
          </w:tcPr>
          <w:p w14:paraId="12DB4B4B" w14:textId="64CAFB37" w:rsidR="00382023" w:rsidRPr="00410205" w:rsidRDefault="00382023" w:rsidP="004E38DF">
            <w:pPr>
              <w:spacing w:before="240"/>
              <w:contextualSpacing/>
              <w:jc w:val="both"/>
              <w:rPr>
                <w:rFonts w:ascii="Verdana" w:eastAsia="Calibri" w:hAnsi="Verdana" w:cs="Times New Roman"/>
                <w:sz w:val="20"/>
                <w:szCs w:val="20"/>
                <w:lang w:val="en-IE"/>
              </w:rPr>
            </w:pPr>
            <w:r w:rsidRPr="00410205">
              <w:rPr>
                <w:rFonts w:ascii="Verdana" w:eastAsia="Calibri" w:hAnsi="Verdana" w:cs="Times New Roman"/>
                <w:sz w:val="20"/>
                <w:szCs w:val="20"/>
                <w:lang w:val="en-IE"/>
              </w:rPr>
              <w:t>No current members identify as having a disability.</w:t>
            </w:r>
            <w:r w:rsidRPr="00410205">
              <w:rPr>
                <w:rStyle w:val="FootnoteReference"/>
                <w:rFonts w:ascii="Verdana" w:eastAsia="Calibri" w:hAnsi="Verdana" w:cs="Times New Roman"/>
                <w:sz w:val="20"/>
                <w:szCs w:val="20"/>
                <w:lang w:val="en-IE"/>
              </w:rPr>
              <w:footnoteReference w:id="36"/>
            </w:r>
          </w:p>
        </w:tc>
      </w:tr>
      <w:tr w:rsidR="00382023" w:rsidRPr="00410205" w14:paraId="12DB4B56" w14:textId="77777777" w:rsidTr="00382023">
        <w:trPr>
          <w:trHeight w:val="454"/>
        </w:trPr>
        <w:tc>
          <w:tcPr>
            <w:tcW w:w="1562" w:type="pct"/>
            <w:shd w:val="clear" w:color="auto" w:fill="auto"/>
            <w:vAlign w:val="center"/>
          </w:tcPr>
          <w:p w14:paraId="12DB4B4E" w14:textId="77777777" w:rsidR="00382023" w:rsidRPr="00410205" w:rsidRDefault="00382023" w:rsidP="004E38DF">
            <w:pPr>
              <w:spacing w:before="240" w:after="200" w:line="276" w:lineRule="auto"/>
              <w:contextualSpacing/>
              <w:jc w:val="both"/>
              <w:rPr>
                <w:rFonts w:ascii="Verdana" w:hAnsi="Verdana" w:cs="Times New Roman"/>
                <w:sz w:val="20"/>
                <w:szCs w:val="20"/>
                <w:lang w:val="en-IE"/>
              </w:rPr>
            </w:pPr>
            <w:r w:rsidRPr="00410205">
              <w:rPr>
                <w:rFonts w:ascii="Verdana" w:hAnsi="Verdana" w:cs="Times New Roman"/>
                <w:sz w:val="20"/>
                <w:szCs w:val="20"/>
                <w:lang w:val="en-IE"/>
              </w:rPr>
              <w:t xml:space="preserve">What was the voter turnout rate for </w:t>
            </w:r>
            <w:r w:rsidRPr="00410205">
              <w:rPr>
                <w:rFonts w:ascii="Verdana" w:hAnsi="Verdana" w:cs="Times New Roman"/>
                <w:sz w:val="20"/>
                <w:szCs w:val="20"/>
                <w:lang w:val="en-IE"/>
              </w:rPr>
              <w:lastRenderedPageBreak/>
              <w:t>persons with disabilities in the most recent municipal elections and in the 2009 European Parliament elections? How does this compare with the voter turnout rate among the general population?</w:t>
            </w:r>
          </w:p>
          <w:p w14:paraId="12DB4B4F" w14:textId="77777777" w:rsidR="00382023" w:rsidRPr="00410205" w:rsidRDefault="00382023" w:rsidP="004E38DF">
            <w:pPr>
              <w:spacing w:before="240" w:after="200" w:line="276" w:lineRule="auto"/>
              <w:contextualSpacing/>
              <w:jc w:val="both"/>
              <w:rPr>
                <w:rFonts w:ascii="Verdana" w:hAnsi="Verdana" w:cs="Times New Roman"/>
                <w:sz w:val="20"/>
                <w:szCs w:val="20"/>
                <w:lang w:val="en-IE"/>
              </w:rPr>
            </w:pPr>
          </w:p>
          <w:p w14:paraId="12DB4B50" w14:textId="77777777" w:rsidR="00382023" w:rsidRPr="00410205" w:rsidRDefault="00382023" w:rsidP="004E38DF">
            <w:pPr>
              <w:spacing w:before="240" w:after="200" w:line="276" w:lineRule="auto"/>
              <w:contextualSpacing/>
              <w:jc w:val="both"/>
              <w:rPr>
                <w:rFonts w:ascii="Verdana" w:hAnsi="Verdana" w:cs="Times New Roman"/>
                <w:sz w:val="20"/>
                <w:szCs w:val="20"/>
                <w:lang w:val="en-IE"/>
              </w:rPr>
            </w:pPr>
            <w:r w:rsidRPr="00410205">
              <w:rPr>
                <w:rFonts w:ascii="Verdana" w:hAnsi="Verdana" w:cs="Times New Roman"/>
                <w:sz w:val="20"/>
                <w:szCs w:val="20"/>
                <w:lang w:val="en-IE"/>
              </w:rPr>
              <w:t>What was the voter turnout rate for persons with disabilities in the most recent national elections? How does this compare with the voter turnout rate among the general population?</w:t>
            </w:r>
          </w:p>
        </w:tc>
        <w:tc>
          <w:tcPr>
            <w:tcW w:w="3438" w:type="pct"/>
            <w:vAlign w:val="center"/>
          </w:tcPr>
          <w:p w14:paraId="12DB4B52" w14:textId="77777777" w:rsidR="00382023" w:rsidRPr="00410205" w:rsidRDefault="00382023" w:rsidP="004E38DF">
            <w:pPr>
              <w:spacing w:before="240"/>
              <w:contextualSpacing/>
              <w:jc w:val="both"/>
              <w:rPr>
                <w:rFonts w:ascii="Verdana" w:eastAsia="Calibri" w:hAnsi="Verdana" w:cs="Times New Roman"/>
                <w:sz w:val="20"/>
                <w:szCs w:val="20"/>
                <w:lang w:val="en-IE"/>
              </w:rPr>
            </w:pPr>
            <w:r w:rsidRPr="00410205">
              <w:rPr>
                <w:rFonts w:ascii="Verdana" w:eastAsia="Calibri" w:hAnsi="Verdana" w:cs="Times New Roman"/>
                <w:sz w:val="20"/>
                <w:szCs w:val="20"/>
                <w:lang w:val="en-IE"/>
              </w:rPr>
              <w:lastRenderedPageBreak/>
              <w:t>The Central Election Service does not keep records of voters who are persons with disabilities. This applies for all types of elections.</w:t>
            </w:r>
            <w:r w:rsidRPr="00410205">
              <w:rPr>
                <w:rStyle w:val="FootnoteReference"/>
                <w:rFonts w:ascii="Verdana" w:eastAsia="Calibri" w:hAnsi="Verdana" w:cs="Times New Roman"/>
                <w:sz w:val="20"/>
                <w:szCs w:val="20"/>
                <w:lang w:val="en-IE"/>
              </w:rPr>
              <w:footnoteReference w:id="37"/>
            </w:r>
          </w:p>
          <w:p w14:paraId="12DB4B53" w14:textId="77777777" w:rsidR="00382023" w:rsidRPr="00410205" w:rsidRDefault="00382023" w:rsidP="004E38DF">
            <w:pPr>
              <w:spacing w:before="240"/>
              <w:contextualSpacing/>
              <w:jc w:val="both"/>
              <w:rPr>
                <w:rFonts w:ascii="Verdana" w:eastAsia="Calibri" w:hAnsi="Verdana" w:cs="Times New Roman"/>
                <w:sz w:val="20"/>
                <w:szCs w:val="20"/>
                <w:lang w:val="en-IE"/>
              </w:rPr>
            </w:pPr>
          </w:p>
          <w:p w14:paraId="12DB4B54" w14:textId="77777777" w:rsidR="00382023" w:rsidRPr="00410205" w:rsidRDefault="00382023" w:rsidP="004E38DF">
            <w:pPr>
              <w:spacing w:before="240"/>
              <w:contextualSpacing/>
              <w:jc w:val="both"/>
              <w:rPr>
                <w:rFonts w:ascii="Verdana" w:eastAsia="Calibri" w:hAnsi="Verdana" w:cs="Times New Roman"/>
                <w:sz w:val="20"/>
                <w:szCs w:val="20"/>
                <w:lang w:val="en-IE"/>
              </w:rPr>
            </w:pPr>
            <w:r w:rsidRPr="00410205">
              <w:rPr>
                <w:rFonts w:ascii="Verdana" w:eastAsia="Calibri" w:hAnsi="Verdana" w:cs="Times New Roman"/>
                <w:sz w:val="20"/>
                <w:szCs w:val="20"/>
                <w:lang w:val="en-IE"/>
              </w:rPr>
              <w:t xml:space="preserve">At the most recent national elections (presidential), 251 prisoners voted at the polling station placed in the Central Prisons. </w:t>
            </w:r>
          </w:p>
          <w:p w14:paraId="12DB4B55" w14:textId="54491909" w:rsidR="00382023" w:rsidRPr="00410205" w:rsidRDefault="00382023" w:rsidP="004E38DF">
            <w:pPr>
              <w:spacing w:before="240"/>
              <w:contextualSpacing/>
              <w:jc w:val="both"/>
              <w:rPr>
                <w:rFonts w:ascii="Verdana" w:eastAsia="Calibri" w:hAnsi="Verdana" w:cs="Times New Roman"/>
                <w:sz w:val="20"/>
                <w:szCs w:val="20"/>
                <w:lang w:val="en-IE"/>
              </w:rPr>
            </w:pPr>
            <w:r w:rsidRPr="00410205">
              <w:rPr>
                <w:rFonts w:ascii="Verdana" w:eastAsia="Calibri" w:hAnsi="Verdana" w:cs="Times New Roman"/>
                <w:sz w:val="20"/>
                <w:szCs w:val="20"/>
                <w:lang w:val="en-IE"/>
              </w:rPr>
              <w:t xml:space="preserve">Regarding persons with disabilities, the only data available at the Central Election Service were the number of paraplegic persons who voted during the recent elections, which </w:t>
            </w:r>
            <w:proofErr w:type="gramStart"/>
            <w:r w:rsidRPr="00410205">
              <w:rPr>
                <w:rFonts w:ascii="Verdana" w:eastAsia="Calibri" w:hAnsi="Verdana" w:cs="Times New Roman"/>
                <w:sz w:val="20"/>
                <w:szCs w:val="20"/>
                <w:lang w:val="en-IE"/>
              </w:rPr>
              <w:t>is</w:t>
            </w:r>
            <w:proofErr w:type="gramEnd"/>
            <w:r w:rsidRPr="00410205">
              <w:rPr>
                <w:rFonts w:ascii="Verdana" w:eastAsia="Calibri" w:hAnsi="Verdana" w:cs="Times New Roman"/>
                <w:sz w:val="20"/>
                <w:szCs w:val="20"/>
                <w:lang w:val="en-IE"/>
              </w:rPr>
              <w:t xml:space="preserve"> 201. For this number of persons, special arrangements were made in order to ensure their accessibility at the polling stations. These polling stations are estimated to be of the same number as the persons since each person is registered in a different area. </w:t>
            </w:r>
            <w:r w:rsidRPr="00410205">
              <w:rPr>
                <w:rStyle w:val="FootnoteReference"/>
                <w:rFonts w:ascii="Verdana" w:eastAsia="Calibri" w:hAnsi="Verdana" w:cs="Times New Roman"/>
                <w:sz w:val="20"/>
                <w:szCs w:val="20"/>
                <w:lang w:val="en-IE"/>
              </w:rPr>
              <w:footnoteReference w:id="38"/>
            </w:r>
          </w:p>
        </w:tc>
      </w:tr>
      <w:tr w:rsidR="00382023" w:rsidRPr="00410205" w14:paraId="12DB4B5B" w14:textId="77777777" w:rsidTr="00382023">
        <w:trPr>
          <w:trHeight w:val="454"/>
        </w:trPr>
        <w:tc>
          <w:tcPr>
            <w:tcW w:w="1562" w:type="pct"/>
            <w:shd w:val="clear" w:color="auto" w:fill="auto"/>
            <w:vAlign w:val="center"/>
          </w:tcPr>
          <w:p w14:paraId="12DB4B58" w14:textId="33B3B6C9" w:rsidR="00382023" w:rsidRPr="00410205" w:rsidRDefault="00382023" w:rsidP="00382023">
            <w:pPr>
              <w:spacing w:before="240"/>
              <w:contextualSpacing/>
              <w:jc w:val="both"/>
              <w:rPr>
                <w:rFonts w:ascii="Verdana" w:eastAsia="Calibri" w:hAnsi="Verdana" w:cs="Times New Roman"/>
                <w:sz w:val="20"/>
                <w:szCs w:val="20"/>
                <w:highlight w:val="yellow"/>
                <w:lang w:val="en-IE"/>
              </w:rPr>
            </w:pPr>
            <w:r w:rsidRPr="00410205">
              <w:rPr>
                <w:rFonts w:ascii="Verdana" w:hAnsi="Verdana" w:cs="Times New Roman"/>
                <w:sz w:val="20"/>
                <w:szCs w:val="20"/>
                <w:lang w:val="en-IE"/>
              </w:rPr>
              <w:lastRenderedPageBreak/>
              <w:t>How many members of current municipal governments identify as having a disability?</w:t>
            </w:r>
          </w:p>
        </w:tc>
        <w:tc>
          <w:tcPr>
            <w:tcW w:w="3438" w:type="pct"/>
            <w:vAlign w:val="center"/>
          </w:tcPr>
          <w:p w14:paraId="304B3118" w14:textId="64A30D4B" w:rsidR="00382023" w:rsidRPr="00410205" w:rsidRDefault="00382023" w:rsidP="004E38DF">
            <w:pPr>
              <w:spacing w:before="240"/>
              <w:contextualSpacing/>
              <w:jc w:val="both"/>
              <w:rPr>
                <w:rFonts w:ascii="Verdana" w:eastAsia="Calibri" w:hAnsi="Verdana" w:cs="Times New Roman"/>
                <w:sz w:val="20"/>
                <w:szCs w:val="20"/>
                <w:lang w:val="en-IE"/>
              </w:rPr>
            </w:pPr>
            <w:r w:rsidRPr="00410205">
              <w:rPr>
                <w:rFonts w:ascii="Verdana" w:eastAsia="Calibri" w:hAnsi="Verdana" w:cs="Times New Roman"/>
                <w:sz w:val="20"/>
                <w:szCs w:val="20"/>
                <w:lang w:val="en-IE"/>
              </w:rPr>
              <w:t>No data is available.</w:t>
            </w:r>
            <w:r w:rsidRPr="00410205">
              <w:rPr>
                <w:rStyle w:val="FootnoteReference"/>
                <w:rFonts w:ascii="Verdana" w:eastAsia="Calibri" w:hAnsi="Verdana" w:cs="Times New Roman"/>
                <w:sz w:val="20"/>
                <w:szCs w:val="20"/>
                <w:lang w:val="en-IE"/>
              </w:rPr>
              <w:footnoteReference w:id="39"/>
            </w:r>
          </w:p>
          <w:p w14:paraId="12DB4B5A" w14:textId="5BD13E8E" w:rsidR="00382023" w:rsidRPr="00410205" w:rsidRDefault="00382023" w:rsidP="007C3CB5">
            <w:pPr>
              <w:spacing w:before="240"/>
              <w:contextualSpacing/>
              <w:jc w:val="both"/>
              <w:rPr>
                <w:rFonts w:ascii="Verdana" w:eastAsia="Calibri" w:hAnsi="Verdana" w:cs="Times New Roman"/>
                <w:sz w:val="20"/>
                <w:szCs w:val="20"/>
                <w:lang w:val="en-IE"/>
              </w:rPr>
            </w:pPr>
          </w:p>
        </w:tc>
      </w:tr>
      <w:tr w:rsidR="00382023" w:rsidRPr="00410205" w14:paraId="12DB4B62" w14:textId="77777777" w:rsidTr="00382023">
        <w:trPr>
          <w:trHeight w:val="454"/>
        </w:trPr>
        <w:tc>
          <w:tcPr>
            <w:tcW w:w="1562" w:type="pct"/>
            <w:shd w:val="clear" w:color="auto" w:fill="auto"/>
            <w:vAlign w:val="center"/>
          </w:tcPr>
          <w:p w14:paraId="12DB4B5D" w14:textId="78EBD0D5" w:rsidR="00382023" w:rsidRPr="00410205" w:rsidRDefault="00382023" w:rsidP="004E38DF">
            <w:pPr>
              <w:spacing w:before="240"/>
              <w:contextualSpacing/>
              <w:jc w:val="both"/>
              <w:rPr>
                <w:rFonts w:ascii="Verdana" w:eastAsia="Calibri" w:hAnsi="Verdana" w:cs="Times New Roman"/>
                <w:sz w:val="20"/>
                <w:szCs w:val="20"/>
                <w:lang w:val="en-IE"/>
              </w:rPr>
            </w:pPr>
            <w:r w:rsidRPr="00410205">
              <w:rPr>
                <w:rFonts w:ascii="Verdana" w:eastAsia="Calibri" w:hAnsi="Verdana" w:cs="Times New Roman"/>
                <w:sz w:val="20"/>
                <w:szCs w:val="20"/>
                <w:lang w:val="en-IE"/>
              </w:rPr>
              <w:t>What proportion of polling stations is accessible for persons with disabilities?</w:t>
            </w:r>
            <w:r w:rsidRPr="00410205">
              <w:rPr>
                <w:rStyle w:val="FootnoteReference"/>
                <w:rFonts w:ascii="Verdana" w:eastAsia="Calibri" w:hAnsi="Verdana" w:cs="Times New Roman"/>
                <w:sz w:val="20"/>
                <w:szCs w:val="20"/>
                <w:lang w:val="en-IE"/>
              </w:rPr>
              <w:footnoteReference w:id="40"/>
            </w:r>
            <w:r w:rsidRPr="00410205">
              <w:rPr>
                <w:rFonts w:ascii="Verdana" w:eastAsia="Calibri" w:hAnsi="Verdana" w:cs="Times New Roman"/>
                <w:sz w:val="20"/>
                <w:szCs w:val="20"/>
                <w:lang w:val="en-IE"/>
              </w:rPr>
              <w:t xml:space="preserve"> Please indicate whether polling stations are accessible for all persons with disabilities or for particular impairment groups e.g. persons with visual, hearing, physical impairments etc.)</w:t>
            </w:r>
          </w:p>
        </w:tc>
        <w:tc>
          <w:tcPr>
            <w:tcW w:w="3438" w:type="pct"/>
            <w:vAlign w:val="center"/>
          </w:tcPr>
          <w:p w14:paraId="59BE9766" w14:textId="2E34CA5F" w:rsidR="00382023" w:rsidRPr="00410205" w:rsidRDefault="00382023" w:rsidP="004E38DF">
            <w:pPr>
              <w:spacing w:before="240"/>
              <w:contextualSpacing/>
              <w:jc w:val="both"/>
              <w:rPr>
                <w:rFonts w:ascii="Verdana" w:eastAsia="Calibri" w:hAnsi="Verdana" w:cs="Times New Roman"/>
                <w:sz w:val="20"/>
                <w:szCs w:val="20"/>
                <w:lang w:val="en-IE"/>
              </w:rPr>
            </w:pPr>
            <w:r w:rsidRPr="00410205">
              <w:rPr>
                <w:rFonts w:ascii="Verdana" w:eastAsia="Calibri" w:hAnsi="Verdana" w:cs="Times New Roman"/>
                <w:sz w:val="20"/>
                <w:szCs w:val="20"/>
                <w:lang w:val="en-IE"/>
              </w:rPr>
              <w:t>There is no specific number of accessible polling stations. The centres are prepared prior to each election based on where the persons with disabilities will vote. There is no separate registration procedure for persons with disabilities. The persons who are already registered to vote and are also members of the Cyprus Paraplegics Association inform the Association about their intention to vote. The Central Elections Service obtains this information every time by requesting it from the Cyprus Paraplegics Association. According to this information, the location where each person is registered is identified by the Service which in turn places the access ramps at the specific polling stations to facilitate the access for paraplegic persons. For the most recent elections the estimated number of polling stations made accessible is 201.</w:t>
            </w:r>
            <w:r w:rsidRPr="00410205">
              <w:rPr>
                <w:rStyle w:val="FootnoteReference"/>
                <w:rFonts w:ascii="Verdana" w:eastAsia="Calibri" w:hAnsi="Verdana" w:cs="Times New Roman"/>
                <w:sz w:val="20"/>
                <w:szCs w:val="20"/>
                <w:lang w:val="en-IE"/>
              </w:rPr>
              <w:footnoteReference w:id="41"/>
            </w:r>
            <w:r w:rsidRPr="00410205">
              <w:rPr>
                <w:rFonts w:ascii="Verdana" w:eastAsia="Calibri" w:hAnsi="Verdana" w:cs="Times New Roman"/>
                <w:sz w:val="20"/>
                <w:szCs w:val="20"/>
                <w:lang w:val="en-IE"/>
              </w:rPr>
              <w:t xml:space="preserve"> </w:t>
            </w:r>
            <w:r w:rsidRPr="00410205">
              <w:rPr>
                <w:rStyle w:val="FootnoteReference"/>
                <w:rFonts w:ascii="Verdana" w:eastAsia="Calibri" w:hAnsi="Verdana" w:cs="Times New Roman"/>
                <w:sz w:val="20"/>
                <w:szCs w:val="20"/>
                <w:lang w:val="en-IE"/>
              </w:rPr>
              <w:footnoteReference w:id="42"/>
            </w:r>
          </w:p>
          <w:p w14:paraId="4EE72878" w14:textId="77777777" w:rsidR="00382023" w:rsidRPr="00410205" w:rsidRDefault="00382023" w:rsidP="004E38DF">
            <w:pPr>
              <w:spacing w:before="240"/>
              <w:contextualSpacing/>
              <w:jc w:val="both"/>
              <w:rPr>
                <w:rFonts w:ascii="Verdana" w:eastAsia="Calibri" w:hAnsi="Verdana" w:cs="Times New Roman"/>
                <w:sz w:val="20"/>
                <w:szCs w:val="20"/>
                <w:lang w:val="en-IE"/>
              </w:rPr>
            </w:pPr>
          </w:p>
          <w:p w14:paraId="12DB4B60" w14:textId="3F5179E2" w:rsidR="00382023" w:rsidRPr="00410205" w:rsidRDefault="00382023" w:rsidP="004E38DF">
            <w:pPr>
              <w:spacing w:before="240"/>
              <w:contextualSpacing/>
              <w:jc w:val="both"/>
              <w:rPr>
                <w:rFonts w:ascii="Verdana" w:eastAsia="Calibri" w:hAnsi="Verdana" w:cs="Times New Roman"/>
                <w:sz w:val="20"/>
                <w:szCs w:val="20"/>
                <w:lang w:val="en-IE"/>
              </w:rPr>
            </w:pPr>
            <w:r w:rsidRPr="00410205">
              <w:rPr>
                <w:rFonts w:ascii="Verdana" w:eastAsia="Calibri" w:hAnsi="Verdana" w:cs="Times New Roman"/>
                <w:sz w:val="20"/>
                <w:szCs w:val="20"/>
                <w:lang w:val="en-IE"/>
              </w:rPr>
              <w:t xml:space="preserve">As confirmed by the Central Elections Service there are no other facilities addressed for </w:t>
            </w:r>
            <w:r w:rsidRPr="00410205">
              <w:rPr>
                <w:rFonts w:ascii="Verdana" w:eastAsia="Calibri" w:hAnsi="Verdana" w:cs="Times New Roman"/>
                <w:sz w:val="20"/>
                <w:szCs w:val="20"/>
                <w:lang w:val="en-IE"/>
              </w:rPr>
              <w:lastRenderedPageBreak/>
              <w:t>other impairment groups. Regarding the persons with visual impairment, the ballots are not available in braille thus the persons are allowed to vote with the help of one family member or any other person acting as an escort. Such provisions cannot be found in the relevant legislation.</w:t>
            </w:r>
            <w:r w:rsidRPr="00410205">
              <w:rPr>
                <w:rStyle w:val="FootnoteReference"/>
                <w:rFonts w:ascii="Verdana" w:eastAsia="Calibri" w:hAnsi="Verdana" w:cs="Times New Roman"/>
                <w:sz w:val="20"/>
                <w:szCs w:val="20"/>
                <w:lang w:val="en-IE"/>
              </w:rPr>
              <w:footnoteReference w:id="43"/>
            </w:r>
            <w:r w:rsidRPr="00410205">
              <w:rPr>
                <w:rFonts w:ascii="Verdana" w:eastAsia="Calibri" w:hAnsi="Verdana" w:cs="Times New Roman"/>
                <w:sz w:val="20"/>
                <w:szCs w:val="20"/>
                <w:lang w:val="en-IE"/>
              </w:rPr>
              <w:t xml:space="preserve">  </w:t>
            </w:r>
          </w:p>
          <w:p w14:paraId="5319D521" w14:textId="77777777" w:rsidR="00382023" w:rsidRPr="00410205" w:rsidRDefault="00382023" w:rsidP="004E38DF">
            <w:pPr>
              <w:spacing w:before="240"/>
              <w:contextualSpacing/>
              <w:jc w:val="both"/>
              <w:rPr>
                <w:rFonts w:ascii="Verdana" w:eastAsia="Calibri" w:hAnsi="Verdana" w:cs="Times New Roman"/>
                <w:sz w:val="20"/>
                <w:szCs w:val="20"/>
                <w:lang w:val="en-IE"/>
              </w:rPr>
            </w:pPr>
          </w:p>
          <w:p w14:paraId="21123BAA" w14:textId="08173BC5" w:rsidR="00382023" w:rsidRPr="00410205" w:rsidRDefault="00382023" w:rsidP="004E38DF">
            <w:pPr>
              <w:spacing w:before="240"/>
              <w:contextualSpacing/>
              <w:jc w:val="both"/>
              <w:rPr>
                <w:rFonts w:ascii="Verdana" w:eastAsia="Calibri" w:hAnsi="Verdana" w:cs="Times New Roman"/>
                <w:sz w:val="20"/>
                <w:szCs w:val="20"/>
                <w:lang w:val="en-IE"/>
              </w:rPr>
            </w:pPr>
            <w:r w:rsidRPr="00410205">
              <w:rPr>
                <w:rFonts w:ascii="Verdana" w:hAnsi="Verdana"/>
                <w:sz w:val="20"/>
                <w:szCs w:val="20"/>
                <w:lang w:val="en-IE"/>
              </w:rPr>
              <w:t>Following the final report of the OSCE regarding the parliamentary elections of the 22</w:t>
            </w:r>
            <w:r w:rsidRPr="00410205">
              <w:rPr>
                <w:rFonts w:ascii="Verdana" w:hAnsi="Verdana"/>
                <w:sz w:val="20"/>
                <w:szCs w:val="20"/>
                <w:vertAlign w:val="superscript"/>
                <w:lang w:val="en-IE"/>
              </w:rPr>
              <w:t>nd</w:t>
            </w:r>
            <w:r w:rsidRPr="00410205">
              <w:rPr>
                <w:rFonts w:ascii="Verdana" w:hAnsi="Verdana"/>
                <w:sz w:val="20"/>
                <w:szCs w:val="20"/>
                <w:lang w:val="en-IE"/>
              </w:rPr>
              <w:t xml:space="preserve"> of May 2011, polling stations visited were easily accessible to voters with disabilities.</w:t>
            </w:r>
            <w:r w:rsidRPr="00410205">
              <w:rPr>
                <w:rStyle w:val="FootnoteReference"/>
                <w:rFonts w:ascii="Verdana" w:hAnsi="Verdana"/>
                <w:sz w:val="20"/>
                <w:szCs w:val="20"/>
                <w:lang w:val="en-IE"/>
              </w:rPr>
              <w:footnoteReference w:id="44"/>
            </w:r>
          </w:p>
          <w:p w14:paraId="12DB4B61" w14:textId="77777777" w:rsidR="00382023" w:rsidRPr="00410205" w:rsidRDefault="00382023" w:rsidP="004E38DF">
            <w:pPr>
              <w:spacing w:before="240"/>
              <w:contextualSpacing/>
              <w:jc w:val="both"/>
              <w:rPr>
                <w:rFonts w:ascii="Verdana" w:eastAsia="Calibri" w:hAnsi="Verdana" w:cs="Times New Roman"/>
                <w:sz w:val="20"/>
                <w:szCs w:val="20"/>
                <w:lang w:val="en-IE"/>
              </w:rPr>
            </w:pPr>
          </w:p>
        </w:tc>
      </w:tr>
      <w:tr w:rsidR="00382023" w:rsidRPr="00410205" w14:paraId="12DB4B67" w14:textId="77777777" w:rsidTr="00382023">
        <w:trPr>
          <w:trHeight w:val="454"/>
        </w:trPr>
        <w:tc>
          <w:tcPr>
            <w:tcW w:w="1562" w:type="pct"/>
            <w:shd w:val="clear" w:color="auto" w:fill="auto"/>
            <w:vAlign w:val="center"/>
          </w:tcPr>
          <w:p w14:paraId="12DB4B64" w14:textId="48A47198" w:rsidR="00382023" w:rsidRPr="00410205" w:rsidRDefault="00382023" w:rsidP="004E38DF">
            <w:pPr>
              <w:spacing w:before="240"/>
              <w:contextualSpacing/>
              <w:jc w:val="both"/>
              <w:rPr>
                <w:rFonts w:ascii="Verdana" w:eastAsia="Calibri" w:hAnsi="Verdana" w:cs="Times New Roman"/>
                <w:sz w:val="20"/>
                <w:szCs w:val="20"/>
                <w:lang w:val="en-IE"/>
              </w:rPr>
            </w:pPr>
            <w:r w:rsidRPr="00410205">
              <w:rPr>
                <w:rFonts w:ascii="Verdana" w:eastAsia="Calibri" w:hAnsi="Verdana" w:cs="Times New Roman"/>
                <w:sz w:val="20"/>
                <w:szCs w:val="20"/>
                <w:lang w:val="en-IE"/>
              </w:rPr>
              <w:lastRenderedPageBreak/>
              <w:t xml:space="preserve">Does the website to provide instructions for voting and information on candidates run by the ministry responsible for organising elections meet accessibility standards (e.g. equivalent to </w:t>
            </w:r>
            <w:hyperlink r:id="rId15" w:history="1">
              <w:r w:rsidRPr="00410205">
                <w:rPr>
                  <w:rStyle w:val="Hyperlink"/>
                  <w:rFonts w:ascii="Verdana" w:eastAsia="Calibri" w:hAnsi="Verdana" w:cs="Times New Roman"/>
                  <w:sz w:val="20"/>
                  <w:szCs w:val="20"/>
                  <w:lang w:val="en-IE"/>
                </w:rPr>
                <w:t>Web Content Accessibility Guidelines (WCAG) 2.0</w:t>
              </w:r>
            </w:hyperlink>
            <w:r w:rsidRPr="00410205">
              <w:rPr>
                <w:rFonts w:ascii="Verdana" w:eastAsia="Calibri" w:hAnsi="Verdana" w:cs="Times New Roman"/>
                <w:sz w:val="20"/>
                <w:szCs w:val="20"/>
                <w:lang w:val="en-IE"/>
              </w:rPr>
              <w:t xml:space="preserve"> AA standard</w:t>
            </w:r>
            <w:r w:rsidRPr="00410205">
              <w:rPr>
                <w:rStyle w:val="FootnoteReference"/>
                <w:rFonts w:ascii="Verdana" w:eastAsia="Calibri" w:hAnsi="Verdana" w:cs="Times New Roman"/>
                <w:sz w:val="20"/>
                <w:szCs w:val="20"/>
                <w:lang w:val="en-IE"/>
              </w:rPr>
              <w:footnoteReference w:id="45"/>
            </w:r>
            <w:r w:rsidRPr="00410205">
              <w:rPr>
                <w:rFonts w:ascii="Verdana" w:eastAsia="Calibri" w:hAnsi="Verdana" w:cs="Times New Roman"/>
                <w:sz w:val="20"/>
                <w:szCs w:val="20"/>
                <w:lang w:val="en-IE"/>
              </w:rPr>
              <w:t>)?</w:t>
            </w:r>
          </w:p>
        </w:tc>
        <w:tc>
          <w:tcPr>
            <w:tcW w:w="3438" w:type="pct"/>
            <w:vAlign w:val="center"/>
          </w:tcPr>
          <w:p w14:paraId="12DB4B66" w14:textId="7AF72954" w:rsidR="00382023" w:rsidRPr="00410205" w:rsidRDefault="00382023" w:rsidP="00DB2616">
            <w:pPr>
              <w:spacing w:before="240"/>
              <w:contextualSpacing/>
              <w:jc w:val="both"/>
              <w:rPr>
                <w:rFonts w:ascii="Verdana" w:eastAsia="Calibri" w:hAnsi="Verdana" w:cs="Times New Roman"/>
                <w:sz w:val="20"/>
                <w:szCs w:val="20"/>
                <w:lang w:val="en-IE"/>
              </w:rPr>
            </w:pPr>
            <w:r w:rsidRPr="00410205">
              <w:rPr>
                <w:rFonts w:ascii="Verdana" w:eastAsia="Calibri" w:hAnsi="Verdana" w:cs="Times New Roman"/>
                <w:sz w:val="20"/>
                <w:szCs w:val="20"/>
                <w:lang w:val="en-IE"/>
              </w:rPr>
              <w:t>The website of the Central Election Service does not provide information accessible to disabled persons.</w:t>
            </w:r>
            <w:r w:rsidRPr="00410205">
              <w:rPr>
                <w:rStyle w:val="FootnoteReference"/>
                <w:rFonts w:ascii="Verdana" w:eastAsia="Calibri" w:hAnsi="Verdana" w:cs="Times New Roman"/>
                <w:sz w:val="20"/>
                <w:szCs w:val="20"/>
                <w:lang w:val="en-IE"/>
              </w:rPr>
              <w:footnoteReference w:id="46"/>
            </w:r>
            <w:r w:rsidRPr="00410205">
              <w:rPr>
                <w:rFonts w:ascii="Verdana" w:eastAsia="Calibri" w:hAnsi="Verdana" w:cs="Times New Roman"/>
                <w:b/>
                <w:i/>
                <w:sz w:val="20"/>
                <w:szCs w:val="20"/>
                <w:lang w:val="en-IE"/>
              </w:rPr>
              <w:t xml:space="preserve"> </w:t>
            </w:r>
          </w:p>
        </w:tc>
      </w:tr>
      <w:tr w:rsidR="00382023" w:rsidRPr="00410205" w14:paraId="12DB4B6C" w14:textId="77777777" w:rsidTr="00382023">
        <w:trPr>
          <w:trHeight w:val="454"/>
        </w:trPr>
        <w:tc>
          <w:tcPr>
            <w:tcW w:w="1562" w:type="pct"/>
            <w:shd w:val="clear" w:color="auto" w:fill="auto"/>
            <w:vAlign w:val="center"/>
          </w:tcPr>
          <w:p w14:paraId="12DB4B69" w14:textId="19E37046" w:rsidR="00382023" w:rsidRPr="00410205" w:rsidRDefault="00382023" w:rsidP="00382023">
            <w:pPr>
              <w:spacing w:before="240"/>
              <w:contextualSpacing/>
              <w:jc w:val="both"/>
              <w:rPr>
                <w:rFonts w:ascii="Verdana" w:eastAsia="Calibri" w:hAnsi="Verdana" w:cs="Times New Roman"/>
                <w:sz w:val="20"/>
                <w:szCs w:val="20"/>
                <w:lang w:val="en-IE"/>
              </w:rPr>
            </w:pPr>
            <w:r w:rsidRPr="00410205">
              <w:rPr>
                <w:rFonts w:ascii="Verdana" w:eastAsia="Calibri" w:hAnsi="Verdana" w:cs="Times New Roman"/>
                <w:sz w:val="20"/>
                <w:szCs w:val="20"/>
                <w:lang w:val="en-IE"/>
              </w:rPr>
              <w:t>What proportion of main public and/or private television broadcasts providing instructions for voting and information on candidates has national language subtitles?</w:t>
            </w:r>
          </w:p>
        </w:tc>
        <w:tc>
          <w:tcPr>
            <w:tcW w:w="3438" w:type="pct"/>
            <w:vAlign w:val="center"/>
          </w:tcPr>
          <w:p w14:paraId="12DB4B6B" w14:textId="5BA3A6D0" w:rsidR="00382023" w:rsidRPr="00410205" w:rsidRDefault="00382023" w:rsidP="004E38DF">
            <w:pPr>
              <w:spacing w:before="240"/>
              <w:contextualSpacing/>
              <w:jc w:val="both"/>
              <w:rPr>
                <w:rFonts w:ascii="Verdana" w:eastAsia="Calibri" w:hAnsi="Verdana" w:cs="Times New Roman"/>
                <w:sz w:val="20"/>
                <w:szCs w:val="20"/>
                <w:lang w:val="en-IE"/>
              </w:rPr>
            </w:pPr>
            <w:r w:rsidRPr="00410205">
              <w:rPr>
                <w:rFonts w:ascii="Verdana" w:eastAsia="Calibri" w:hAnsi="Verdana" w:cs="Times New Roman"/>
                <w:sz w:val="20"/>
                <w:szCs w:val="20"/>
                <w:lang w:val="en-IE"/>
              </w:rPr>
              <w:t>The only information broadcasted by public and private television accessible to persons with disabilities is the information entailed in the daily news bulletin with subtitles, audio description and sign language as defined by law.</w:t>
            </w:r>
            <w:r w:rsidRPr="00410205">
              <w:rPr>
                <w:rStyle w:val="FootnoteReference"/>
                <w:rFonts w:ascii="Verdana" w:eastAsia="Calibri" w:hAnsi="Verdana" w:cs="Times New Roman"/>
                <w:sz w:val="20"/>
                <w:szCs w:val="20"/>
                <w:lang w:val="en-IE"/>
              </w:rPr>
              <w:footnoteReference w:id="47"/>
            </w:r>
          </w:p>
        </w:tc>
      </w:tr>
      <w:tr w:rsidR="00382023" w:rsidRPr="00410205" w14:paraId="12DB4B71" w14:textId="77777777" w:rsidTr="00382023">
        <w:trPr>
          <w:trHeight w:val="454"/>
        </w:trPr>
        <w:tc>
          <w:tcPr>
            <w:tcW w:w="1562" w:type="pct"/>
            <w:shd w:val="clear" w:color="auto" w:fill="auto"/>
            <w:vAlign w:val="center"/>
          </w:tcPr>
          <w:p w14:paraId="12DB4B6E" w14:textId="4556F2F7" w:rsidR="00382023" w:rsidRPr="00410205" w:rsidRDefault="00382023" w:rsidP="00382023">
            <w:pPr>
              <w:spacing w:before="240"/>
              <w:contextualSpacing/>
              <w:jc w:val="both"/>
              <w:rPr>
                <w:rFonts w:ascii="Verdana" w:eastAsia="Calibri" w:hAnsi="Verdana" w:cs="Times New Roman"/>
                <w:sz w:val="20"/>
                <w:szCs w:val="20"/>
                <w:lang w:val="en-IE"/>
              </w:rPr>
            </w:pPr>
            <w:r w:rsidRPr="00410205">
              <w:rPr>
                <w:rFonts w:ascii="Verdana" w:eastAsia="Calibri" w:hAnsi="Verdana" w:cs="Times New Roman"/>
                <w:sz w:val="20"/>
                <w:szCs w:val="20"/>
                <w:lang w:val="en-IE"/>
              </w:rPr>
              <w:t>What proportion of main public and/or private television broadcasts providing instructions for voting and information on candidates has audio description?</w:t>
            </w:r>
          </w:p>
        </w:tc>
        <w:tc>
          <w:tcPr>
            <w:tcW w:w="3438" w:type="pct"/>
            <w:vAlign w:val="center"/>
          </w:tcPr>
          <w:p w14:paraId="30853B11" w14:textId="77777777" w:rsidR="00382023" w:rsidRPr="00410205" w:rsidRDefault="00382023" w:rsidP="004E38DF">
            <w:pPr>
              <w:spacing w:before="240"/>
              <w:contextualSpacing/>
              <w:jc w:val="both"/>
              <w:rPr>
                <w:rFonts w:ascii="Verdana" w:eastAsia="Calibri" w:hAnsi="Verdana" w:cs="Times New Roman"/>
                <w:sz w:val="20"/>
                <w:szCs w:val="20"/>
                <w:lang w:val="en-IE"/>
              </w:rPr>
            </w:pPr>
            <w:r w:rsidRPr="00410205">
              <w:rPr>
                <w:rFonts w:ascii="Verdana" w:eastAsia="Calibri" w:hAnsi="Verdana" w:cs="Times New Roman"/>
                <w:sz w:val="20"/>
                <w:szCs w:val="20"/>
                <w:lang w:val="en-IE"/>
              </w:rPr>
              <w:t>The only information broadcasted by public and private television accessible to persons with disabilities is the information entailed in the daily news bulletin with subtitles, audio description and sign language as defined by law.</w:t>
            </w:r>
            <w:r w:rsidRPr="00410205">
              <w:rPr>
                <w:rStyle w:val="FootnoteReference"/>
                <w:rFonts w:ascii="Verdana" w:eastAsia="Calibri" w:hAnsi="Verdana" w:cs="Times New Roman"/>
                <w:sz w:val="20"/>
                <w:szCs w:val="20"/>
                <w:lang w:val="en-IE"/>
              </w:rPr>
              <w:t xml:space="preserve"> </w:t>
            </w:r>
            <w:r w:rsidRPr="00410205">
              <w:rPr>
                <w:rStyle w:val="FootnoteReference"/>
                <w:rFonts w:ascii="Verdana" w:eastAsia="Calibri" w:hAnsi="Verdana" w:cs="Times New Roman"/>
                <w:sz w:val="20"/>
                <w:szCs w:val="20"/>
                <w:lang w:val="en-IE"/>
              </w:rPr>
              <w:footnoteReference w:id="48"/>
            </w:r>
          </w:p>
          <w:p w14:paraId="12DB4B70" w14:textId="1F7EEFCD" w:rsidR="00382023" w:rsidRPr="00410205" w:rsidRDefault="00382023" w:rsidP="004E38DF">
            <w:pPr>
              <w:spacing w:before="240"/>
              <w:contextualSpacing/>
              <w:jc w:val="both"/>
              <w:rPr>
                <w:rFonts w:ascii="Verdana" w:eastAsia="Calibri" w:hAnsi="Verdana" w:cs="Times New Roman"/>
                <w:sz w:val="20"/>
                <w:szCs w:val="20"/>
                <w:lang w:val="en-IE"/>
              </w:rPr>
            </w:pPr>
          </w:p>
        </w:tc>
      </w:tr>
      <w:tr w:rsidR="00382023" w:rsidRPr="00410205" w14:paraId="12DB4B76" w14:textId="77777777" w:rsidTr="00382023">
        <w:trPr>
          <w:trHeight w:val="454"/>
        </w:trPr>
        <w:tc>
          <w:tcPr>
            <w:tcW w:w="1562" w:type="pct"/>
            <w:shd w:val="clear" w:color="auto" w:fill="auto"/>
            <w:vAlign w:val="center"/>
          </w:tcPr>
          <w:p w14:paraId="12DB4B73" w14:textId="04DF9E49" w:rsidR="00382023" w:rsidRPr="00410205" w:rsidRDefault="00382023" w:rsidP="00382023">
            <w:pPr>
              <w:spacing w:before="240"/>
              <w:contextualSpacing/>
              <w:jc w:val="both"/>
              <w:rPr>
                <w:rFonts w:ascii="Verdana" w:eastAsia="Calibri" w:hAnsi="Verdana" w:cs="Times New Roman"/>
                <w:sz w:val="20"/>
                <w:szCs w:val="20"/>
                <w:lang w:val="en-IE"/>
              </w:rPr>
            </w:pPr>
            <w:r w:rsidRPr="00410205">
              <w:rPr>
                <w:rFonts w:ascii="Verdana" w:eastAsia="Calibri" w:hAnsi="Verdana" w:cs="Times New Roman"/>
                <w:sz w:val="20"/>
                <w:szCs w:val="20"/>
                <w:lang w:val="en-IE"/>
              </w:rPr>
              <w:t xml:space="preserve">What proportion of main public and/or private television broadcasts providing instructions for voting and information </w:t>
            </w:r>
            <w:r w:rsidRPr="00410205">
              <w:rPr>
                <w:rFonts w:ascii="Verdana" w:eastAsia="Calibri" w:hAnsi="Verdana" w:cs="Times New Roman"/>
                <w:sz w:val="20"/>
                <w:szCs w:val="20"/>
                <w:lang w:val="en-IE"/>
              </w:rPr>
              <w:lastRenderedPageBreak/>
              <w:t>on candidates has sign language interpretation?</w:t>
            </w:r>
          </w:p>
        </w:tc>
        <w:tc>
          <w:tcPr>
            <w:tcW w:w="3438" w:type="pct"/>
            <w:vAlign w:val="center"/>
          </w:tcPr>
          <w:p w14:paraId="12DB4B75" w14:textId="3B58FC4E" w:rsidR="00382023" w:rsidRPr="00410205" w:rsidRDefault="00382023" w:rsidP="00450A08">
            <w:pPr>
              <w:spacing w:before="240"/>
              <w:contextualSpacing/>
              <w:jc w:val="both"/>
              <w:rPr>
                <w:rFonts w:ascii="Verdana" w:eastAsia="Calibri" w:hAnsi="Verdana" w:cs="Times New Roman"/>
                <w:sz w:val="20"/>
                <w:szCs w:val="20"/>
                <w:lang w:val="en-IE"/>
              </w:rPr>
            </w:pPr>
            <w:r w:rsidRPr="00410205">
              <w:rPr>
                <w:rFonts w:ascii="Verdana" w:eastAsia="Calibri" w:hAnsi="Verdana" w:cs="Times New Roman"/>
                <w:sz w:val="20"/>
                <w:szCs w:val="20"/>
                <w:lang w:val="en-IE"/>
              </w:rPr>
              <w:lastRenderedPageBreak/>
              <w:t>The only information broadcasted by public and private television accessible to persons with disabilities is the information entailed in the daily news bulletin with subtitles, audio description and sign language as defined by law.</w:t>
            </w:r>
            <w:r w:rsidRPr="00410205">
              <w:rPr>
                <w:rStyle w:val="FootnoteReference"/>
                <w:rFonts w:ascii="Verdana" w:eastAsia="Calibri" w:hAnsi="Verdana" w:cs="Times New Roman"/>
                <w:sz w:val="20"/>
                <w:szCs w:val="20"/>
                <w:lang w:val="en-IE"/>
              </w:rPr>
              <w:t xml:space="preserve"> </w:t>
            </w:r>
            <w:r w:rsidRPr="00410205">
              <w:rPr>
                <w:rStyle w:val="FootnoteReference"/>
                <w:rFonts w:ascii="Verdana" w:eastAsia="Calibri" w:hAnsi="Verdana" w:cs="Times New Roman"/>
                <w:sz w:val="20"/>
                <w:szCs w:val="20"/>
                <w:lang w:val="en-IE"/>
              </w:rPr>
              <w:footnoteReference w:id="49"/>
            </w:r>
            <w:r w:rsidRPr="00410205">
              <w:rPr>
                <w:rFonts w:ascii="Verdana" w:eastAsia="Calibri" w:hAnsi="Verdana" w:cs="Times New Roman"/>
                <w:sz w:val="20"/>
                <w:szCs w:val="20"/>
                <w:lang w:val="en-IE"/>
              </w:rPr>
              <w:t xml:space="preserve"> </w:t>
            </w:r>
          </w:p>
        </w:tc>
      </w:tr>
      <w:tr w:rsidR="00382023" w:rsidRPr="00410205" w14:paraId="12DB4B7B" w14:textId="77777777" w:rsidTr="00382023">
        <w:trPr>
          <w:trHeight w:val="454"/>
        </w:trPr>
        <w:tc>
          <w:tcPr>
            <w:tcW w:w="1562" w:type="pct"/>
            <w:shd w:val="clear" w:color="auto" w:fill="auto"/>
            <w:vAlign w:val="center"/>
          </w:tcPr>
          <w:p w14:paraId="12DB4B78" w14:textId="6D1EF578" w:rsidR="00382023" w:rsidRPr="00410205" w:rsidRDefault="00382023" w:rsidP="004E38DF">
            <w:pPr>
              <w:spacing w:before="240"/>
              <w:contextualSpacing/>
              <w:jc w:val="both"/>
              <w:rPr>
                <w:rFonts w:ascii="Verdana" w:eastAsia="Calibri" w:hAnsi="Verdana" w:cs="Times New Roman"/>
                <w:sz w:val="20"/>
                <w:szCs w:val="20"/>
                <w:lang w:val="en-IE"/>
              </w:rPr>
            </w:pPr>
            <w:r w:rsidRPr="00410205">
              <w:rPr>
                <w:rFonts w:ascii="Verdana" w:eastAsia="Calibri" w:hAnsi="Verdana" w:cs="Times New Roman"/>
                <w:sz w:val="20"/>
                <w:szCs w:val="20"/>
                <w:lang w:val="en-IE"/>
              </w:rPr>
              <w:lastRenderedPageBreak/>
              <w:t>How many political parties, out of the total who participated in the most recent European Parliament and municipal elections, made their manifesto/campaign material accessible to persons with disabilities (e.g. large print, braille, easy-to-read, audio versions etc.)?</w:t>
            </w:r>
          </w:p>
        </w:tc>
        <w:tc>
          <w:tcPr>
            <w:tcW w:w="3438" w:type="pct"/>
            <w:vAlign w:val="center"/>
          </w:tcPr>
          <w:p w14:paraId="12DB4B7A" w14:textId="280CDBFA" w:rsidR="00382023" w:rsidRPr="00410205" w:rsidRDefault="00382023" w:rsidP="00450A08">
            <w:pPr>
              <w:spacing w:before="240"/>
              <w:contextualSpacing/>
              <w:jc w:val="both"/>
              <w:rPr>
                <w:rFonts w:ascii="Verdana" w:eastAsia="Calibri" w:hAnsi="Verdana" w:cs="Times New Roman"/>
                <w:sz w:val="20"/>
                <w:szCs w:val="20"/>
                <w:lang w:val="en-IE"/>
              </w:rPr>
            </w:pPr>
            <w:r w:rsidRPr="00410205">
              <w:rPr>
                <w:rFonts w:ascii="Verdana" w:eastAsia="Calibri" w:hAnsi="Verdana" w:cs="Times New Roman"/>
                <w:sz w:val="20"/>
                <w:szCs w:val="20"/>
                <w:lang w:val="en-IE"/>
              </w:rPr>
              <w:t>No political parties made their manifestations or campaign material in formats accessible to people with disabilities.</w:t>
            </w:r>
            <w:r w:rsidRPr="00410205">
              <w:rPr>
                <w:rStyle w:val="FootnoteReference"/>
                <w:rFonts w:ascii="Verdana" w:eastAsia="Calibri" w:hAnsi="Verdana" w:cs="Times New Roman"/>
                <w:sz w:val="20"/>
                <w:szCs w:val="20"/>
                <w:lang w:val="en-IE"/>
              </w:rPr>
              <w:footnoteReference w:id="50"/>
            </w:r>
            <w:r w:rsidRPr="00410205">
              <w:rPr>
                <w:rFonts w:ascii="Verdana" w:eastAsia="Calibri" w:hAnsi="Verdana" w:cs="Times New Roman"/>
                <w:sz w:val="20"/>
                <w:szCs w:val="20"/>
                <w:lang w:val="en-IE"/>
              </w:rPr>
              <w:t xml:space="preserve"> </w:t>
            </w:r>
          </w:p>
        </w:tc>
      </w:tr>
      <w:tr w:rsidR="00382023" w:rsidRPr="00410205" w14:paraId="12DB4B81" w14:textId="77777777" w:rsidTr="00382023">
        <w:trPr>
          <w:trHeight w:val="454"/>
        </w:trPr>
        <w:tc>
          <w:tcPr>
            <w:tcW w:w="1562" w:type="pct"/>
            <w:shd w:val="clear" w:color="auto" w:fill="auto"/>
            <w:vAlign w:val="center"/>
          </w:tcPr>
          <w:p w14:paraId="12DB4B7D" w14:textId="381CC4ED" w:rsidR="00382023" w:rsidRPr="00410205" w:rsidRDefault="00382023" w:rsidP="00382023">
            <w:pPr>
              <w:spacing w:before="240"/>
              <w:contextualSpacing/>
              <w:jc w:val="both"/>
              <w:rPr>
                <w:rFonts w:ascii="Verdana" w:eastAsia="Calibri" w:hAnsi="Verdana" w:cs="Times New Roman"/>
                <w:sz w:val="20"/>
                <w:szCs w:val="20"/>
                <w:lang w:val="en-IE"/>
              </w:rPr>
            </w:pPr>
            <w:r w:rsidRPr="00410205">
              <w:rPr>
                <w:rFonts w:ascii="Verdana" w:eastAsia="Calibri" w:hAnsi="Verdana" w:cs="Times New Roman"/>
                <w:sz w:val="20"/>
                <w:szCs w:val="20"/>
                <w:lang w:val="en-IE"/>
              </w:rPr>
              <w:t>What proportion of public authority national and municipal buildings is accessible to persons with disabilities?</w:t>
            </w:r>
          </w:p>
        </w:tc>
        <w:tc>
          <w:tcPr>
            <w:tcW w:w="3438" w:type="pct"/>
            <w:vAlign w:val="center"/>
          </w:tcPr>
          <w:p w14:paraId="12DB4B80" w14:textId="57BBE365" w:rsidR="00382023" w:rsidRPr="00410205" w:rsidRDefault="00382023" w:rsidP="004E38DF">
            <w:pPr>
              <w:spacing w:before="240"/>
              <w:contextualSpacing/>
              <w:jc w:val="both"/>
              <w:rPr>
                <w:rFonts w:ascii="Verdana" w:eastAsia="Calibri" w:hAnsi="Verdana" w:cs="Times New Roman"/>
                <w:sz w:val="20"/>
                <w:szCs w:val="20"/>
                <w:lang w:val="en-IE"/>
              </w:rPr>
            </w:pPr>
            <w:r w:rsidRPr="00410205">
              <w:rPr>
                <w:rFonts w:ascii="Verdana" w:eastAsia="Calibri" w:hAnsi="Verdana" w:cs="Times New Roman"/>
                <w:sz w:val="20"/>
                <w:szCs w:val="20"/>
                <w:lang w:val="en-IE"/>
              </w:rPr>
              <w:t xml:space="preserve">No data available at the moment. A research regarding the accessibility of public authority buildings to persons with disabilities is being implemented by the Department for Social Inclusion of persons with disabilities. This research is implemented in the framework of the implementation of the CRPD and is still at the stage of the data collection. </w:t>
            </w:r>
            <w:r w:rsidRPr="00410205">
              <w:rPr>
                <w:rStyle w:val="FootnoteReference"/>
                <w:rFonts w:ascii="Verdana" w:eastAsia="Calibri" w:hAnsi="Verdana" w:cs="Times New Roman"/>
                <w:sz w:val="20"/>
                <w:szCs w:val="20"/>
                <w:lang w:val="en-IE"/>
              </w:rPr>
              <w:footnoteReference w:id="51"/>
            </w:r>
            <w:r w:rsidRPr="00410205">
              <w:rPr>
                <w:rFonts w:ascii="Verdana" w:eastAsia="Calibri" w:hAnsi="Verdana" w:cs="Times New Roman"/>
                <w:sz w:val="20"/>
                <w:szCs w:val="20"/>
                <w:lang w:val="en-IE"/>
              </w:rPr>
              <w:t xml:space="preserve"> The criteria used to determine the accessibility of public authority buildings are defined in the Regulation 61H “Use of buildings by disabled persons” under the “Streets and Buildings Law” of 1999.</w:t>
            </w:r>
            <w:r w:rsidRPr="00410205">
              <w:rPr>
                <w:rStyle w:val="FootnoteReference"/>
                <w:rFonts w:ascii="Verdana" w:eastAsia="Calibri" w:hAnsi="Verdana" w:cs="Times New Roman"/>
                <w:sz w:val="20"/>
                <w:szCs w:val="20"/>
                <w:lang w:val="en-IE"/>
              </w:rPr>
              <w:footnoteReference w:id="52"/>
            </w:r>
          </w:p>
        </w:tc>
      </w:tr>
      <w:tr w:rsidR="00382023" w:rsidRPr="00410205" w14:paraId="12DB4B86" w14:textId="77777777" w:rsidTr="00382023">
        <w:trPr>
          <w:trHeight w:val="454"/>
        </w:trPr>
        <w:tc>
          <w:tcPr>
            <w:tcW w:w="1562" w:type="pct"/>
            <w:shd w:val="clear" w:color="auto" w:fill="auto"/>
            <w:vAlign w:val="center"/>
          </w:tcPr>
          <w:p w14:paraId="12DB4B83" w14:textId="3660BC18" w:rsidR="00382023" w:rsidRPr="00410205" w:rsidRDefault="00382023" w:rsidP="00382023">
            <w:pPr>
              <w:spacing w:before="240"/>
              <w:contextualSpacing/>
              <w:jc w:val="both"/>
              <w:rPr>
                <w:rFonts w:ascii="Verdana" w:eastAsia="Calibri" w:hAnsi="Verdana" w:cs="Times New Roman"/>
                <w:sz w:val="20"/>
                <w:szCs w:val="20"/>
                <w:lang w:val="en-IE"/>
              </w:rPr>
            </w:pPr>
            <w:r w:rsidRPr="00410205">
              <w:rPr>
                <w:rFonts w:ascii="Verdana" w:eastAsia="Calibri" w:hAnsi="Verdana" w:cs="Times New Roman"/>
                <w:sz w:val="20"/>
                <w:szCs w:val="20"/>
                <w:lang w:val="en-IE"/>
              </w:rPr>
              <w:t>How many complaints related to infringements of the right to political participation of persons with disabilities were recorded in 2012? What proportion of these complaints was successful?</w:t>
            </w:r>
          </w:p>
        </w:tc>
        <w:tc>
          <w:tcPr>
            <w:tcW w:w="3438" w:type="pct"/>
            <w:vAlign w:val="center"/>
          </w:tcPr>
          <w:p w14:paraId="12DB4B85" w14:textId="41C60EAD" w:rsidR="00382023" w:rsidRPr="00410205" w:rsidRDefault="00382023" w:rsidP="00450A08">
            <w:pPr>
              <w:spacing w:before="240"/>
              <w:contextualSpacing/>
              <w:jc w:val="both"/>
              <w:rPr>
                <w:rFonts w:ascii="Verdana" w:eastAsia="Calibri" w:hAnsi="Verdana" w:cs="Times New Roman"/>
                <w:sz w:val="20"/>
                <w:szCs w:val="20"/>
                <w:lang w:val="en-IE"/>
              </w:rPr>
            </w:pPr>
            <w:r w:rsidRPr="00410205">
              <w:rPr>
                <w:rFonts w:ascii="Verdana" w:eastAsia="Calibri" w:hAnsi="Verdana" w:cs="Times New Roman"/>
                <w:sz w:val="20"/>
                <w:szCs w:val="20"/>
                <w:lang w:val="en-IE"/>
              </w:rPr>
              <w:t>Neither the ombudsman’s Office nor the Central Elections Authority received any complaints of this nature, be it in 2012 or more recently.</w:t>
            </w:r>
            <w:r w:rsidRPr="00410205">
              <w:rPr>
                <w:rStyle w:val="FootnoteReference"/>
                <w:rFonts w:ascii="Verdana" w:eastAsia="Calibri" w:hAnsi="Verdana" w:cs="Times New Roman"/>
                <w:sz w:val="20"/>
                <w:szCs w:val="20"/>
                <w:lang w:val="en-IE"/>
              </w:rPr>
              <w:footnoteReference w:id="53"/>
            </w:r>
            <w:r w:rsidRPr="00410205">
              <w:rPr>
                <w:rFonts w:ascii="Verdana" w:eastAsia="Calibri" w:hAnsi="Verdana" w:cs="Times New Roman"/>
                <w:sz w:val="20"/>
                <w:szCs w:val="20"/>
                <w:lang w:val="en-IE"/>
              </w:rPr>
              <w:t xml:space="preserve"> </w:t>
            </w:r>
          </w:p>
        </w:tc>
      </w:tr>
    </w:tbl>
    <w:p w14:paraId="12DB4BB1" w14:textId="77777777" w:rsidR="0081459C" w:rsidRPr="00410205" w:rsidRDefault="0081459C" w:rsidP="00382023">
      <w:pPr>
        <w:keepNext/>
        <w:spacing w:before="480" w:after="240" w:line="240" w:lineRule="auto"/>
        <w:rPr>
          <w:rFonts w:ascii="Verdana" w:hAnsi="Verdana"/>
          <w:sz w:val="20"/>
          <w:szCs w:val="20"/>
          <w:lang w:val="en-IE"/>
        </w:rPr>
      </w:pPr>
    </w:p>
    <w:sectPr w:rsidR="0081459C" w:rsidRPr="00410205" w:rsidSect="00912C69">
      <w:headerReference w:type="default" r:id="rId16"/>
      <w:footerReference w:type="default" r:id="rId17"/>
      <w:footerReference w:type="firs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7A6C8D" w14:textId="77777777" w:rsidR="00F75D76" w:rsidRDefault="00F75D76" w:rsidP="00912C69">
      <w:pPr>
        <w:spacing w:after="0" w:line="240" w:lineRule="auto"/>
      </w:pPr>
      <w:r>
        <w:separator/>
      </w:r>
    </w:p>
  </w:endnote>
  <w:endnote w:type="continuationSeparator" w:id="0">
    <w:p w14:paraId="4E063AB4" w14:textId="77777777" w:rsidR="00F75D76" w:rsidRDefault="00F75D76" w:rsidP="00912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B4BB8" w14:textId="77777777" w:rsidR="009F5F0C" w:rsidRDefault="00BC3DBE">
    <w:pPr>
      <w:pStyle w:val="Footer"/>
      <w:ind w:left="1080"/>
      <w:jc w:val="right"/>
    </w:pPr>
    <w:r>
      <w:fldChar w:fldCharType="begin"/>
    </w:r>
    <w:r w:rsidR="009F5F0C">
      <w:instrText xml:space="preserve"> PAGE   \* MERGEFORMAT </w:instrText>
    </w:r>
    <w:r>
      <w:fldChar w:fldCharType="separate"/>
    </w:r>
    <w:r w:rsidR="009D4337">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B4BB9" w14:textId="77777777" w:rsidR="009F5F0C" w:rsidRDefault="009F5F0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F06290" w14:textId="77777777" w:rsidR="00F75D76" w:rsidRDefault="00F75D76" w:rsidP="00912C69">
      <w:pPr>
        <w:spacing w:after="0" w:line="240" w:lineRule="auto"/>
      </w:pPr>
      <w:r>
        <w:separator/>
      </w:r>
    </w:p>
  </w:footnote>
  <w:footnote w:type="continuationSeparator" w:id="0">
    <w:p w14:paraId="031F5BEE" w14:textId="77777777" w:rsidR="00F75D76" w:rsidRDefault="00F75D76" w:rsidP="00912C69">
      <w:pPr>
        <w:spacing w:after="0" w:line="240" w:lineRule="auto"/>
      </w:pPr>
      <w:r>
        <w:continuationSeparator/>
      </w:r>
    </w:p>
  </w:footnote>
  <w:footnote w:id="1">
    <w:p w14:paraId="09FE26DB" w14:textId="77777777" w:rsidR="00382023" w:rsidRPr="004E38DF" w:rsidRDefault="00382023" w:rsidP="00E00696">
      <w:pPr>
        <w:pStyle w:val="FootnoteText"/>
        <w:jc w:val="both"/>
      </w:pPr>
      <w:r w:rsidRPr="004E38DF">
        <w:rPr>
          <w:rStyle w:val="FootnoteReference"/>
        </w:rPr>
        <w:footnoteRef/>
      </w:r>
      <w:r w:rsidRPr="004E38DF">
        <w:t xml:space="preserve"> UN (2013), </w:t>
      </w:r>
      <w:proofErr w:type="spellStart"/>
      <w:r w:rsidRPr="004E38DF">
        <w:t>Treaty</w:t>
      </w:r>
      <w:proofErr w:type="spellEnd"/>
      <w:r w:rsidRPr="004E38DF">
        <w:t xml:space="preserve"> </w:t>
      </w:r>
      <w:proofErr w:type="spellStart"/>
      <w:r w:rsidRPr="004E38DF">
        <w:t>Collection</w:t>
      </w:r>
      <w:proofErr w:type="spellEnd"/>
      <w:r w:rsidRPr="004E38DF">
        <w:t xml:space="preserve">, </w:t>
      </w:r>
      <w:proofErr w:type="spellStart"/>
      <w:r w:rsidRPr="004E38DF">
        <w:t>available</w:t>
      </w:r>
      <w:proofErr w:type="spellEnd"/>
      <w:r w:rsidRPr="004E38DF">
        <w:t xml:space="preserve"> </w:t>
      </w:r>
      <w:proofErr w:type="spellStart"/>
      <w:r w:rsidRPr="004E38DF">
        <w:t>at</w:t>
      </w:r>
      <w:proofErr w:type="spellEnd"/>
      <w:r w:rsidRPr="004E38DF">
        <w:t xml:space="preserve">: </w:t>
      </w:r>
      <w:hyperlink r:id="rId1" w:history="1">
        <w:r w:rsidRPr="004E38DF">
          <w:rPr>
            <w:rStyle w:val="Hyperlink"/>
          </w:rPr>
          <w:t>http://treaties.un.org/Pages/ViewDetails.aspx?src=TREATY&amp;mtdsg_no=IV-15&amp;chapter=4&amp;lang=en</w:t>
        </w:r>
      </w:hyperlink>
      <w:r w:rsidRPr="004E38DF">
        <w:rPr>
          <w:rStyle w:val="Hyperlink"/>
        </w:rPr>
        <w:t>.</w:t>
      </w:r>
    </w:p>
  </w:footnote>
  <w:footnote w:id="2">
    <w:p w14:paraId="11486DEF" w14:textId="77777777" w:rsidR="00382023" w:rsidRPr="004E38DF" w:rsidRDefault="00382023" w:rsidP="00E00696">
      <w:pPr>
        <w:pStyle w:val="FootnoteText"/>
        <w:jc w:val="both"/>
      </w:pPr>
      <w:r w:rsidRPr="004E38DF">
        <w:rPr>
          <w:rStyle w:val="FootnoteReference"/>
        </w:rPr>
        <w:footnoteRef/>
      </w:r>
      <w:r w:rsidRPr="004E38DF">
        <w:t xml:space="preserve"> UN (2013), </w:t>
      </w:r>
      <w:proofErr w:type="spellStart"/>
      <w:r w:rsidRPr="004E38DF">
        <w:t>Treaty</w:t>
      </w:r>
      <w:proofErr w:type="spellEnd"/>
      <w:r w:rsidRPr="004E38DF">
        <w:t xml:space="preserve"> </w:t>
      </w:r>
      <w:proofErr w:type="spellStart"/>
      <w:r w:rsidRPr="004E38DF">
        <w:t>Collection</w:t>
      </w:r>
      <w:proofErr w:type="spellEnd"/>
      <w:r w:rsidRPr="004E38DF">
        <w:t xml:space="preserve">, </w:t>
      </w:r>
      <w:proofErr w:type="spellStart"/>
      <w:r w:rsidRPr="004E38DF">
        <w:t>available</w:t>
      </w:r>
      <w:proofErr w:type="spellEnd"/>
      <w:r w:rsidRPr="004E38DF">
        <w:t xml:space="preserve"> </w:t>
      </w:r>
      <w:proofErr w:type="spellStart"/>
      <w:r w:rsidRPr="004E38DF">
        <w:t>at</w:t>
      </w:r>
      <w:proofErr w:type="spellEnd"/>
      <w:r w:rsidRPr="004E38DF">
        <w:t xml:space="preserve">: </w:t>
      </w:r>
      <w:hyperlink r:id="rId2" w:history="1">
        <w:r w:rsidRPr="004E38DF">
          <w:rPr>
            <w:rStyle w:val="Hyperlink"/>
          </w:rPr>
          <w:t>http://treaties.un.org/Pages/ViewDetails.aspx?src=TREATY&amp;mtdsg_no=IV-15&amp;chapter=4&amp;lang=en</w:t>
        </w:r>
      </w:hyperlink>
      <w:r w:rsidRPr="004E38DF">
        <w:rPr>
          <w:rStyle w:val="Hyperlink"/>
        </w:rPr>
        <w:t>.</w:t>
      </w:r>
    </w:p>
  </w:footnote>
  <w:footnote w:id="3">
    <w:p w14:paraId="107278F0" w14:textId="77777777" w:rsidR="00382023" w:rsidRPr="004E38DF" w:rsidRDefault="00382023" w:rsidP="00E00696">
      <w:pPr>
        <w:pStyle w:val="FootnoteText"/>
        <w:jc w:val="both"/>
      </w:pPr>
      <w:r w:rsidRPr="004E38DF">
        <w:rPr>
          <w:rStyle w:val="FootnoteReference"/>
        </w:rPr>
        <w:footnoteRef/>
      </w:r>
      <w:r w:rsidRPr="004E38DF">
        <w:t xml:space="preserve"> UN (2013), </w:t>
      </w:r>
      <w:proofErr w:type="spellStart"/>
      <w:r w:rsidRPr="004E38DF">
        <w:t>Treaty</w:t>
      </w:r>
      <w:proofErr w:type="spellEnd"/>
      <w:r w:rsidRPr="004E38DF">
        <w:t xml:space="preserve"> </w:t>
      </w:r>
      <w:proofErr w:type="spellStart"/>
      <w:r w:rsidRPr="004E38DF">
        <w:t>Collection</w:t>
      </w:r>
      <w:proofErr w:type="spellEnd"/>
      <w:r w:rsidRPr="004E38DF">
        <w:t xml:space="preserve">, </w:t>
      </w:r>
      <w:proofErr w:type="spellStart"/>
      <w:r w:rsidRPr="004E38DF">
        <w:t>available</w:t>
      </w:r>
      <w:proofErr w:type="spellEnd"/>
      <w:r w:rsidRPr="004E38DF">
        <w:t xml:space="preserve"> </w:t>
      </w:r>
      <w:proofErr w:type="spellStart"/>
      <w:r w:rsidRPr="004E38DF">
        <w:t>at</w:t>
      </w:r>
      <w:proofErr w:type="spellEnd"/>
      <w:r w:rsidRPr="004E38DF">
        <w:t xml:space="preserve">: </w:t>
      </w:r>
      <w:hyperlink r:id="rId3" w:history="1">
        <w:r w:rsidRPr="004E38DF">
          <w:rPr>
            <w:rStyle w:val="Hyperlink"/>
          </w:rPr>
          <w:t>http://treaties.un.org/Pages/ViewDetails.aspx?src=TREATY&amp;mtdsg_no=IV-15&amp;chapter=4&amp;lang=en</w:t>
        </w:r>
      </w:hyperlink>
      <w:r w:rsidRPr="004E38DF">
        <w:rPr>
          <w:rStyle w:val="Hyperlink"/>
        </w:rPr>
        <w:t>.</w:t>
      </w:r>
    </w:p>
  </w:footnote>
  <w:footnote w:id="4">
    <w:p w14:paraId="12DB4BBA" w14:textId="77777777" w:rsidR="00382023" w:rsidRPr="004E38DF" w:rsidRDefault="00382023" w:rsidP="00E00696">
      <w:pPr>
        <w:pStyle w:val="FootnoteText"/>
        <w:jc w:val="both"/>
        <w:rPr>
          <w:rFonts w:cs="Times New Roman"/>
          <w:lang w:val="en-US"/>
        </w:rPr>
      </w:pPr>
      <w:r w:rsidRPr="004E38DF">
        <w:rPr>
          <w:rStyle w:val="FootnoteReference"/>
        </w:rPr>
        <w:footnoteRef/>
      </w:r>
      <w:r w:rsidRPr="004E38DF">
        <w:rPr>
          <w:lang w:val="en-US"/>
        </w:rPr>
        <w:t xml:space="preserve"> </w:t>
      </w:r>
      <w:r w:rsidRPr="004E38DF">
        <w:rPr>
          <w:rFonts w:cs="Times New Roman"/>
          <w:lang w:val="en-US"/>
        </w:rPr>
        <w:t>Cyprus, Election of the members of the European parliament Law” 10(1)2004, (</w:t>
      </w:r>
      <w:r w:rsidRPr="004E38DF">
        <w:rPr>
          <w:rFonts w:cs="Times New Roman"/>
        </w:rPr>
        <w:t>Ο</w:t>
      </w:r>
      <w:r w:rsidRPr="004E38DF">
        <w:rPr>
          <w:rFonts w:cs="Times New Roman"/>
          <w:lang w:val="en-US"/>
        </w:rPr>
        <w:t xml:space="preserve"> </w:t>
      </w:r>
      <w:r w:rsidRPr="004E38DF">
        <w:rPr>
          <w:rFonts w:cs="Times New Roman"/>
        </w:rPr>
        <w:t>περί</w:t>
      </w:r>
      <w:r w:rsidRPr="004E38DF">
        <w:rPr>
          <w:rFonts w:cs="Times New Roman"/>
          <w:lang w:val="en-US"/>
        </w:rPr>
        <w:t xml:space="preserve"> </w:t>
      </w:r>
      <w:r w:rsidRPr="004E38DF">
        <w:rPr>
          <w:rFonts w:cs="Times New Roman"/>
        </w:rPr>
        <w:t>της</w:t>
      </w:r>
      <w:r w:rsidRPr="004E38DF">
        <w:rPr>
          <w:rFonts w:cs="Times New Roman"/>
          <w:lang w:val="en-US"/>
        </w:rPr>
        <w:t xml:space="preserve"> </w:t>
      </w:r>
      <w:r w:rsidRPr="004E38DF">
        <w:rPr>
          <w:rFonts w:cs="Times New Roman"/>
        </w:rPr>
        <w:t>εκλογής</w:t>
      </w:r>
      <w:r w:rsidRPr="004E38DF">
        <w:rPr>
          <w:rFonts w:cs="Times New Roman"/>
          <w:lang w:val="en-US"/>
        </w:rPr>
        <w:t xml:space="preserve"> </w:t>
      </w:r>
      <w:r w:rsidRPr="004E38DF">
        <w:rPr>
          <w:rFonts w:cs="Times New Roman"/>
        </w:rPr>
        <w:t>των</w:t>
      </w:r>
      <w:r w:rsidRPr="004E38DF">
        <w:rPr>
          <w:rFonts w:cs="Times New Roman"/>
          <w:lang w:val="en-US"/>
        </w:rPr>
        <w:t xml:space="preserve"> </w:t>
      </w:r>
      <w:r w:rsidRPr="004E38DF">
        <w:rPr>
          <w:rFonts w:cs="Times New Roman"/>
        </w:rPr>
        <w:t>μελών</w:t>
      </w:r>
      <w:r w:rsidRPr="004E38DF">
        <w:rPr>
          <w:rFonts w:cs="Times New Roman"/>
          <w:lang w:val="en-US"/>
        </w:rPr>
        <w:t xml:space="preserve"> </w:t>
      </w:r>
      <w:r w:rsidRPr="004E38DF">
        <w:rPr>
          <w:rFonts w:cs="Times New Roman"/>
        </w:rPr>
        <w:t>του</w:t>
      </w:r>
      <w:r w:rsidRPr="004E38DF">
        <w:rPr>
          <w:rFonts w:cs="Times New Roman"/>
          <w:lang w:val="en-US"/>
        </w:rPr>
        <w:t xml:space="preserve"> </w:t>
      </w:r>
      <w:r w:rsidRPr="004E38DF">
        <w:rPr>
          <w:rFonts w:cs="Times New Roman"/>
        </w:rPr>
        <w:t>Ευρωπαϊκού</w:t>
      </w:r>
      <w:r w:rsidRPr="004E38DF">
        <w:rPr>
          <w:rFonts w:cs="Times New Roman"/>
          <w:lang w:val="en-US"/>
        </w:rPr>
        <w:t xml:space="preserve"> </w:t>
      </w:r>
      <w:r w:rsidRPr="004E38DF">
        <w:rPr>
          <w:rFonts w:cs="Times New Roman"/>
        </w:rPr>
        <w:t>Κοινοβουλίου</w:t>
      </w:r>
      <w:r w:rsidRPr="004E38DF">
        <w:rPr>
          <w:rFonts w:cs="Times New Roman"/>
          <w:lang w:val="en-US"/>
        </w:rPr>
        <w:t xml:space="preserve"> </w:t>
      </w:r>
      <w:r w:rsidRPr="004E38DF">
        <w:rPr>
          <w:rFonts w:cs="Times New Roman"/>
        </w:rPr>
        <w:t>Νόμος</w:t>
      </w:r>
      <w:r w:rsidRPr="004E38DF">
        <w:rPr>
          <w:rFonts w:cs="Times New Roman"/>
          <w:lang w:val="en-US"/>
        </w:rPr>
        <w:t>), last amended 13(I</w:t>
      </w:r>
      <w:proofErr w:type="gramStart"/>
      <w:r w:rsidRPr="004E38DF">
        <w:rPr>
          <w:rFonts w:cs="Times New Roman"/>
          <w:lang w:val="en-US"/>
        </w:rPr>
        <w:t>)2009</w:t>
      </w:r>
      <w:proofErr w:type="gramEnd"/>
      <w:r w:rsidRPr="004E38DF">
        <w:rPr>
          <w:rFonts w:cs="Times New Roman"/>
          <w:lang w:val="en-US"/>
        </w:rPr>
        <w:t xml:space="preserve">. Available at: </w:t>
      </w:r>
      <w:hyperlink r:id="rId4" w:history="1">
        <w:r w:rsidRPr="004E38DF">
          <w:rPr>
            <w:rStyle w:val="Hyperlink"/>
            <w:rFonts w:cs="Times New Roman"/>
            <w:lang w:val="en-US"/>
          </w:rPr>
          <w:t>www.cylaw.org/nomoi/enop/non-ind/2004_1_10/index.html</w:t>
        </w:r>
      </w:hyperlink>
      <w:r w:rsidRPr="004E38DF">
        <w:rPr>
          <w:rFonts w:cs="Times New Roman"/>
          <w:lang w:val="en-US"/>
        </w:rPr>
        <w:t xml:space="preserve"> </w:t>
      </w:r>
    </w:p>
  </w:footnote>
  <w:footnote w:id="5">
    <w:p w14:paraId="12DB4BBB" w14:textId="77777777" w:rsidR="00382023" w:rsidRPr="004E38DF" w:rsidRDefault="00382023" w:rsidP="00E00696">
      <w:pPr>
        <w:pStyle w:val="FootnoteText"/>
        <w:jc w:val="both"/>
        <w:rPr>
          <w:lang w:val="en-US"/>
        </w:rPr>
      </w:pPr>
      <w:r w:rsidRPr="004E38DF">
        <w:rPr>
          <w:rStyle w:val="FootnoteReference"/>
          <w:rFonts w:cs="Times New Roman"/>
        </w:rPr>
        <w:footnoteRef/>
      </w:r>
      <w:r w:rsidRPr="004E38DF">
        <w:rPr>
          <w:rFonts w:cs="Times New Roman"/>
          <w:lang w:val="en-US"/>
        </w:rPr>
        <w:t xml:space="preserve"> Cyprus, The Municipal and Community Elections (National of Other Member States) Law 98(I)/2004 (</w:t>
      </w:r>
      <w:r w:rsidRPr="004E38DF">
        <w:rPr>
          <w:rFonts w:cs="Times New Roman"/>
        </w:rPr>
        <w:t>Ο</w:t>
      </w:r>
      <w:r w:rsidRPr="004E38DF">
        <w:rPr>
          <w:rFonts w:cs="Times New Roman"/>
          <w:lang w:val="en-US"/>
        </w:rPr>
        <w:t xml:space="preserve"> </w:t>
      </w:r>
      <w:r w:rsidRPr="004E38DF">
        <w:rPr>
          <w:rFonts w:cs="Times New Roman"/>
        </w:rPr>
        <w:t>Περί</w:t>
      </w:r>
      <w:r w:rsidRPr="004E38DF">
        <w:rPr>
          <w:rFonts w:cs="Times New Roman"/>
          <w:lang w:val="en-US"/>
        </w:rPr>
        <w:t xml:space="preserve"> </w:t>
      </w:r>
      <w:r w:rsidRPr="004E38DF">
        <w:rPr>
          <w:rFonts w:cs="Times New Roman"/>
        </w:rPr>
        <w:t>Δημοτικών</w:t>
      </w:r>
      <w:r w:rsidRPr="004E38DF">
        <w:rPr>
          <w:rFonts w:cs="Times New Roman"/>
          <w:lang w:val="en-US"/>
        </w:rPr>
        <w:t xml:space="preserve"> </w:t>
      </w:r>
      <w:r w:rsidRPr="004E38DF">
        <w:rPr>
          <w:rFonts w:cs="Times New Roman"/>
        </w:rPr>
        <w:t>και</w:t>
      </w:r>
      <w:r w:rsidRPr="004E38DF">
        <w:rPr>
          <w:rFonts w:cs="Times New Roman"/>
          <w:lang w:val="en-US"/>
        </w:rPr>
        <w:t xml:space="preserve"> </w:t>
      </w:r>
      <w:r w:rsidRPr="004E38DF">
        <w:rPr>
          <w:rFonts w:cs="Times New Roman"/>
        </w:rPr>
        <w:t>Κοινοτικών</w:t>
      </w:r>
      <w:r w:rsidRPr="004E38DF">
        <w:rPr>
          <w:rFonts w:cs="Times New Roman"/>
          <w:lang w:val="en-US"/>
        </w:rPr>
        <w:t xml:space="preserve"> </w:t>
      </w:r>
      <w:r w:rsidRPr="004E38DF">
        <w:rPr>
          <w:rFonts w:cs="Times New Roman"/>
        </w:rPr>
        <w:t>Εκλογών</w:t>
      </w:r>
      <w:r w:rsidRPr="004E38DF">
        <w:rPr>
          <w:rFonts w:cs="Times New Roman"/>
          <w:lang w:val="en-US"/>
        </w:rPr>
        <w:t xml:space="preserve"> (</w:t>
      </w:r>
      <w:r w:rsidRPr="004E38DF">
        <w:rPr>
          <w:rFonts w:cs="Times New Roman"/>
        </w:rPr>
        <w:t>Υπήκοοι</w:t>
      </w:r>
      <w:r w:rsidRPr="004E38DF">
        <w:rPr>
          <w:rFonts w:cs="Times New Roman"/>
          <w:lang w:val="en-US"/>
        </w:rPr>
        <w:t xml:space="preserve"> </w:t>
      </w:r>
      <w:r w:rsidRPr="004E38DF">
        <w:rPr>
          <w:rFonts w:cs="Times New Roman"/>
        </w:rPr>
        <w:t>Άλλων</w:t>
      </w:r>
      <w:r w:rsidRPr="004E38DF">
        <w:rPr>
          <w:rFonts w:cs="Times New Roman"/>
          <w:lang w:val="en-US"/>
        </w:rPr>
        <w:t xml:space="preserve"> </w:t>
      </w:r>
      <w:r w:rsidRPr="004E38DF">
        <w:rPr>
          <w:rFonts w:cs="Times New Roman"/>
        </w:rPr>
        <w:t>Κρατών</w:t>
      </w:r>
      <w:r w:rsidRPr="004E38DF">
        <w:rPr>
          <w:rFonts w:cs="Times New Roman"/>
          <w:lang w:val="en-US"/>
        </w:rPr>
        <w:t xml:space="preserve"> </w:t>
      </w:r>
      <w:r w:rsidRPr="004E38DF">
        <w:rPr>
          <w:rFonts w:cs="Times New Roman"/>
        </w:rPr>
        <w:t>Μελών</w:t>
      </w:r>
      <w:r w:rsidRPr="004E38DF">
        <w:rPr>
          <w:rFonts w:cs="Times New Roman"/>
          <w:lang w:val="en-US"/>
        </w:rPr>
        <w:t xml:space="preserve">) </w:t>
      </w:r>
      <w:r w:rsidRPr="004E38DF">
        <w:rPr>
          <w:rFonts w:cs="Times New Roman"/>
        </w:rPr>
        <w:t>Νόμος</w:t>
      </w:r>
      <w:r w:rsidRPr="004E38DF">
        <w:rPr>
          <w:rFonts w:cs="Times New Roman"/>
          <w:lang w:val="en-US"/>
        </w:rPr>
        <w:t xml:space="preserve"> </w:t>
      </w:r>
      <w:r w:rsidRPr="004E38DF">
        <w:rPr>
          <w:rFonts w:cs="Times New Roman"/>
        </w:rPr>
        <w:t>του</w:t>
      </w:r>
      <w:r w:rsidRPr="004E38DF">
        <w:rPr>
          <w:rFonts w:cs="Times New Roman"/>
          <w:lang w:val="en-US"/>
        </w:rPr>
        <w:t xml:space="preserve"> 2004) last amended 38(I</w:t>
      </w:r>
      <w:proofErr w:type="gramStart"/>
      <w:r w:rsidRPr="004E38DF">
        <w:rPr>
          <w:rFonts w:cs="Times New Roman"/>
          <w:lang w:val="en-US"/>
        </w:rPr>
        <w:t>)2010</w:t>
      </w:r>
      <w:proofErr w:type="gramEnd"/>
      <w:r w:rsidRPr="004E38DF">
        <w:rPr>
          <w:rFonts w:cs="Times New Roman"/>
          <w:lang w:val="en-US"/>
        </w:rPr>
        <w:t xml:space="preserve"> and 46(I)2010. Available at: </w:t>
      </w:r>
      <w:hyperlink r:id="rId5" w:history="1">
        <w:r w:rsidRPr="004E38DF">
          <w:rPr>
            <w:rStyle w:val="Hyperlink"/>
            <w:rFonts w:cs="Times New Roman"/>
            <w:lang w:val="en-US"/>
          </w:rPr>
          <w:t>www.cylaw.org/nomoi/enop/non-ind/2004_1_98/full.html</w:t>
        </w:r>
      </w:hyperlink>
    </w:p>
  </w:footnote>
  <w:footnote w:id="6">
    <w:p w14:paraId="12DB4BBC" w14:textId="77777777" w:rsidR="00382023" w:rsidRPr="004E38DF" w:rsidRDefault="00382023" w:rsidP="00E00696">
      <w:pPr>
        <w:pStyle w:val="FootnoteText"/>
        <w:jc w:val="both"/>
        <w:rPr>
          <w:rFonts w:cs="Times New Roman"/>
          <w:lang w:val="en-US"/>
        </w:rPr>
      </w:pPr>
      <w:r w:rsidRPr="004E38DF">
        <w:rPr>
          <w:rStyle w:val="FootnoteReference"/>
          <w:rFonts w:cs="Times New Roman"/>
        </w:rPr>
        <w:footnoteRef/>
      </w:r>
      <w:r w:rsidRPr="004E38DF">
        <w:rPr>
          <w:rFonts w:cs="Times New Roman"/>
          <w:lang w:val="en-US"/>
        </w:rPr>
        <w:t xml:space="preserve"> Cyprus, Law on Election of Members to the House of Representatives (72/1979), (</w:t>
      </w:r>
      <w:r w:rsidRPr="004E38DF">
        <w:rPr>
          <w:rFonts w:cs="Times New Roman"/>
        </w:rPr>
        <w:t>Ο</w:t>
      </w:r>
      <w:r w:rsidRPr="004E38DF">
        <w:rPr>
          <w:rFonts w:cs="Times New Roman"/>
          <w:lang w:val="en-US"/>
        </w:rPr>
        <w:t xml:space="preserve"> </w:t>
      </w:r>
      <w:r w:rsidRPr="004E38DF">
        <w:rPr>
          <w:rFonts w:cs="Times New Roman"/>
        </w:rPr>
        <w:t>Περί</w:t>
      </w:r>
      <w:r w:rsidRPr="004E38DF">
        <w:rPr>
          <w:rFonts w:cs="Times New Roman"/>
          <w:lang w:val="en-US"/>
        </w:rPr>
        <w:t xml:space="preserve"> </w:t>
      </w:r>
      <w:r w:rsidRPr="004E38DF">
        <w:rPr>
          <w:rFonts w:cs="Times New Roman"/>
        </w:rPr>
        <w:t>Εκλογής</w:t>
      </w:r>
      <w:r w:rsidRPr="004E38DF">
        <w:rPr>
          <w:rFonts w:cs="Times New Roman"/>
          <w:lang w:val="en-US"/>
        </w:rPr>
        <w:t xml:space="preserve"> </w:t>
      </w:r>
      <w:r w:rsidRPr="004E38DF">
        <w:rPr>
          <w:rFonts w:cs="Times New Roman"/>
        </w:rPr>
        <w:t>Μελών</w:t>
      </w:r>
      <w:r w:rsidRPr="004E38DF">
        <w:rPr>
          <w:rFonts w:cs="Times New Roman"/>
          <w:lang w:val="en-US"/>
        </w:rPr>
        <w:t xml:space="preserve"> </w:t>
      </w:r>
      <w:r w:rsidRPr="004E38DF">
        <w:rPr>
          <w:rFonts w:cs="Times New Roman"/>
        </w:rPr>
        <w:t>της</w:t>
      </w:r>
      <w:r w:rsidRPr="004E38DF">
        <w:rPr>
          <w:rFonts w:cs="Times New Roman"/>
          <w:lang w:val="en-US"/>
        </w:rPr>
        <w:t xml:space="preserve"> </w:t>
      </w:r>
      <w:r w:rsidRPr="004E38DF">
        <w:rPr>
          <w:rFonts w:cs="Times New Roman"/>
        </w:rPr>
        <w:t>Βουλής</w:t>
      </w:r>
      <w:r w:rsidRPr="004E38DF">
        <w:rPr>
          <w:rFonts w:cs="Times New Roman"/>
          <w:lang w:val="en-US"/>
        </w:rPr>
        <w:t xml:space="preserve"> </w:t>
      </w:r>
      <w:r w:rsidRPr="004E38DF">
        <w:rPr>
          <w:rFonts w:cs="Times New Roman"/>
        </w:rPr>
        <w:t>των</w:t>
      </w:r>
      <w:r w:rsidRPr="004E38DF">
        <w:rPr>
          <w:rFonts w:cs="Times New Roman"/>
          <w:lang w:val="en-US"/>
        </w:rPr>
        <w:t xml:space="preserve"> </w:t>
      </w:r>
      <w:r w:rsidRPr="004E38DF">
        <w:rPr>
          <w:rFonts w:cs="Times New Roman"/>
        </w:rPr>
        <w:t>Αντιπροσώπων</w:t>
      </w:r>
      <w:r w:rsidRPr="004E38DF">
        <w:rPr>
          <w:rFonts w:cs="Times New Roman"/>
          <w:lang w:val="en-US"/>
        </w:rPr>
        <w:t xml:space="preserve"> </w:t>
      </w:r>
      <w:r w:rsidRPr="004E38DF">
        <w:rPr>
          <w:rFonts w:cs="Times New Roman"/>
        </w:rPr>
        <w:t>Νόμος</w:t>
      </w:r>
      <w:r w:rsidRPr="004E38DF">
        <w:rPr>
          <w:rFonts w:cs="Times New Roman"/>
          <w:lang w:val="en-US"/>
        </w:rPr>
        <w:t xml:space="preserve"> </w:t>
      </w:r>
      <w:r w:rsidRPr="004E38DF">
        <w:rPr>
          <w:rFonts w:cs="Times New Roman"/>
        </w:rPr>
        <w:t>του</w:t>
      </w:r>
      <w:r w:rsidRPr="004E38DF">
        <w:rPr>
          <w:rFonts w:cs="Times New Roman"/>
          <w:lang w:val="en-US"/>
        </w:rPr>
        <w:t xml:space="preserve"> 1979) last amended 87(I)/2011. Available at: </w:t>
      </w:r>
      <w:hyperlink r:id="rId6" w:history="1">
        <w:r w:rsidRPr="004E38DF">
          <w:rPr>
            <w:rStyle w:val="Hyperlink"/>
            <w:rFonts w:cs="Times New Roman"/>
            <w:lang w:val="en-US"/>
          </w:rPr>
          <w:t>www.cylaw.org/nomoi/enop/non-ind/1979_1_72/index.html</w:t>
        </w:r>
      </w:hyperlink>
      <w:r w:rsidRPr="004E38DF">
        <w:rPr>
          <w:rFonts w:cs="Times New Roman"/>
          <w:lang w:val="en-US"/>
        </w:rPr>
        <w:t xml:space="preserve"> </w:t>
      </w:r>
    </w:p>
  </w:footnote>
  <w:footnote w:id="7">
    <w:p w14:paraId="12DB4BBD" w14:textId="77777777" w:rsidR="00382023" w:rsidRPr="004E38DF" w:rsidRDefault="00382023" w:rsidP="00E00696">
      <w:pPr>
        <w:pStyle w:val="FootnoteText"/>
        <w:jc w:val="both"/>
        <w:rPr>
          <w:rFonts w:cs="Times New Roman"/>
          <w:lang w:val="en-US"/>
        </w:rPr>
      </w:pPr>
      <w:r w:rsidRPr="004E38DF">
        <w:rPr>
          <w:rStyle w:val="FootnoteReference"/>
          <w:rFonts w:cs="Times New Roman"/>
        </w:rPr>
        <w:footnoteRef/>
      </w:r>
      <w:r w:rsidRPr="004E38DF">
        <w:rPr>
          <w:rFonts w:cs="Times New Roman"/>
          <w:lang w:val="en-US"/>
        </w:rPr>
        <w:t xml:space="preserve"> Cyprus, The Election (President and Vice-President of the Republic) Laws (37/1959) (</w:t>
      </w:r>
      <w:r w:rsidRPr="004E38DF">
        <w:rPr>
          <w:rFonts w:cs="Times New Roman"/>
        </w:rPr>
        <w:t>Ο</w:t>
      </w:r>
      <w:r w:rsidRPr="004E38DF">
        <w:rPr>
          <w:rFonts w:cs="Times New Roman"/>
          <w:lang w:val="en-US"/>
        </w:rPr>
        <w:t xml:space="preserve"> </w:t>
      </w:r>
      <w:r w:rsidRPr="004E38DF">
        <w:rPr>
          <w:rFonts w:cs="Times New Roman"/>
        </w:rPr>
        <w:t>περί</w:t>
      </w:r>
      <w:r w:rsidRPr="004E38DF">
        <w:rPr>
          <w:rFonts w:cs="Times New Roman"/>
          <w:lang w:val="en-US"/>
        </w:rPr>
        <w:t xml:space="preserve"> </w:t>
      </w:r>
      <w:r w:rsidRPr="004E38DF">
        <w:rPr>
          <w:rFonts w:cs="Times New Roman"/>
        </w:rPr>
        <w:t>Εκλογής</w:t>
      </w:r>
      <w:r w:rsidRPr="004E38DF">
        <w:rPr>
          <w:rFonts w:cs="Times New Roman"/>
          <w:lang w:val="en-US"/>
        </w:rPr>
        <w:t xml:space="preserve"> (</w:t>
      </w:r>
      <w:r w:rsidRPr="004E38DF">
        <w:rPr>
          <w:rFonts w:cs="Times New Roman"/>
        </w:rPr>
        <w:t>Πρόεδρος</w:t>
      </w:r>
      <w:r w:rsidRPr="004E38DF">
        <w:rPr>
          <w:rFonts w:cs="Times New Roman"/>
          <w:lang w:val="en-US"/>
        </w:rPr>
        <w:t xml:space="preserve"> </w:t>
      </w:r>
      <w:r w:rsidRPr="004E38DF">
        <w:rPr>
          <w:rFonts w:cs="Times New Roman"/>
        </w:rPr>
        <w:t>και</w:t>
      </w:r>
      <w:r w:rsidRPr="004E38DF">
        <w:rPr>
          <w:rFonts w:cs="Times New Roman"/>
          <w:lang w:val="en-US"/>
        </w:rPr>
        <w:t xml:space="preserve"> </w:t>
      </w:r>
      <w:r w:rsidRPr="004E38DF">
        <w:rPr>
          <w:rFonts w:cs="Times New Roman"/>
        </w:rPr>
        <w:t>Αντιπρόεδρος</w:t>
      </w:r>
      <w:r w:rsidRPr="004E38DF">
        <w:rPr>
          <w:rFonts w:cs="Times New Roman"/>
          <w:lang w:val="en-US"/>
        </w:rPr>
        <w:t xml:space="preserve"> </w:t>
      </w:r>
      <w:r w:rsidRPr="004E38DF">
        <w:rPr>
          <w:rFonts w:cs="Times New Roman"/>
        </w:rPr>
        <w:t>της</w:t>
      </w:r>
      <w:r w:rsidRPr="004E38DF">
        <w:rPr>
          <w:rFonts w:cs="Times New Roman"/>
          <w:lang w:val="en-US"/>
        </w:rPr>
        <w:t xml:space="preserve"> </w:t>
      </w:r>
      <w:r w:rsidRPr="004E38DF">
        <w:rPr>
          <w:rFonts w:cs="Times New Roman"/>
        </w:rPr>
        <w:t>Δημοκρατίας</w:t>
      </w:r>
      <w:r w:rsidRPr="004E38DF">
        <w:rPr>
          <w:rFonts w:cs="Times New Roman"/>
          <w:lang w:val="en-US"/>
        </w:rPr>
        <w:t xml:space="preserve">) </w:t>
      </w:r>
      <w:r w:rsidRPr="004E38DF">
        <w:rPr>
          <w:rFonts w:cs="Times New Roman"/>
        </w:rPr>
        <w:t>Νόμοι</w:t>
      </w:r>
      <w:r w:rsidRPr="004E38DF">
        <w:rPr>
          <w:rFonts w:cs="Times New Roman"/>
          <w:lang w:val="en-US"/>
        </w:rPr>
        <w:t xml:space="preserve"> </w:t>
      </w:r>
      <w:r w:rsidRPr="004E38DF">
        <w:rPr>
          <w:rFonts w:cs="Times New Roman"/>
        </w:rPr>
        <w:t>του</w:t>
      </w:r>
      <w:r w:rsidRPr="004E38DF">
        <w:rPr>
          <w:rFonts w:cs="Times New Roman"/>
          <w:lang w:val="en-US"/>
        </w:rPr>
        <w:t xml:space="preserve"> 1959), last amended 1(I</w:t>
      </w:r>
      <w:proofErr w:type="gramStart"/>
      <w:r w:rsidRPr="004E38DF">
        <w:rPr>
          <w:rFonts w:cs="Times New Roman"/>
          <w:lang w:val="en-US"/>
        </w:rPr>
        <w:t>)2013</w:t>
      </w:r>
      <w:proofErr w:type="gramEnd"/>
      <w:r w:rsidRPr="004E38DF">
        <w:rPr>
          <w:rFonts w:cs="Times New Roman"/>
          <w:lang w:val="en-US"/>
        </w:rPr>
        <w:t xml:space="preserve">. Available at: </w:t>
      </w:r>
      <w:hyperlink r:id="rId7" w:history="1">
        <w:r w:rsidRPr="004E38DF">
          <w:rPr>
            <w:rStyle w:val="Hyperlink"/>
            <w:rFonts w:cs="Times New Roman"/>
            <w:lang w:val="en-US"/>
          </w:rPr>
          <w:t>www.cylaw.org/nomoi/enop/non-ind/1959_1_37/index.html</w:t>
        </w:r>
      </w:hyperlink>
      <w:r w:rsidRPr="004E38DF">
        <w:rPr>
          <w:rFonts w:cs="Times New Roman"/>
          <w:lang w:val="en-US"/>
        </w:rPr>
        <w:t xml:space="preserve"> </w:t>
      </w:r>
    </w:p>
  </w:footnote>
  <w:footnote w:id="8">
    <w:p w14:paraId="12DB4BBE" w14:textId="77777777" w:rsidR="00382023" w:rsidRPr="004E38DF" w:rsidRDefault="00382023" w:rsidP="00E00696">
      <w:pPr>
        <w:pStyle w:val="FootnoteText"/>
        <w:jc w:val="both"/>
        <w:rPr>
          <w:rFonts w:cs="Times New Roman"/>
          <w:lang w:val="en-US"/>
        </w:rPr>
      </w:pPr>
      <w:r w:rsidRPr="004E38DF">
        <w:rPr>
          <w:rStyle w:val="FootnoteReference"/>
          <w:rFonts w:cs="Times New Roman"/>
        </w:rPr>
        <w:footnoteRef/>
      </w:r>
      <w:r w:rsidRPr="004E38DF">
        <w:rPr>
          <w:rFonts w:cs="Times New Roman"/>
        </w:rPr>
        <w:t xml:space="preserve"> </w:t>
      </w:r>
      <w:proofErr w:type="spellStart"/>
      <w:r w:rsidRPr="004E38DF">
        <w:rPr>
          <w:rFonts w:cs="Times New Roman"/>
        </w:rPr>
        <w:t>Cyprus</w:t>
      </w:r>
      <w:proofErr w:type="spellEnd"/>
      <w:r w:rsidRPr="004E38DF">
        <w:rPr>
          <w:rFonts w:cs="Times New Roman"/>
        </w:rPr>
        <w:t>, “</w:t>
      </w:r>
      <w:proofErr w:type="spellStart"/>
      <w:r w:rsidRPr="004E38DF">
        <w:rPr>
          <w:rFonts w:cs="Times New Roman"/>
        </w:rPr>
        <w:t>Referendums</w:t>
      </w:r>
      <w:proofErr w:type="spellEnd"/>
      <w:r w:rsidRPr="004E38DF">
        <w:rPr>
          <w:rFonts w:cs="Times New Roman"/>
        </w:rPr>
        <w:t xml:space="preserve"> </w:t>
      </w:r>
      <w:proofErr w:type="spellStart"/>
      <w:r w:rsidRPr="004E38DF">
        <w:rPr>
          <w:rFonts w:cs="Times New Roman"/>
        </w:rPr>
        <w:t>Law</w:t>
      </w:r>
      <w:proofErr w:type="spellEnd"/>
      <w:r w:rsidRPr="004E38DF">
        <w:rPr>
          <w:rFonts w:cs="Times New Roman"/>
        </w:rPr>
        <w:t xml:space="preserve">” (206/1989), (Ο περί Δημοψηφισμάτων Νόμος του 1989). </w:t>
      </w:r>
      <w:r w:rsidRPr="004E38DF">
        <w:rPr>
          <w:rFonts w:cs="Times New Roman"/>
          <w:lang w:val="en-US"/>
        </w:rPr>
        <w:t xml:space="preserve">Available at: </w:t>
      </w:r>
      <w:hyperlink r:id="rId8" w:history="1">
        <w:r w:rsidRPr="004E38DF">
          <w:rPr>
            <w:rStyle w:val="Hyperlink"/>
            <w:rFonts w:cs="Times New Roman"/>
            <w:lang w:val="en-US"/>
          </w:rPr>
          <w:t>www.cylaw.org/nomoi/enop/non-ind/1989_1_206/full.html</w:t>
        </w:r>
      </w:hyperlink>
      <w:r w:rsidRPr="004E38DF">
        <w:rPr>
          <w:rFonts w:cs="Times New Roman"/>
          <w:lang w:val="en-US"/>
        </w:rPr>
        <w:t xml:space="preserve"> </w:t>
      </w:r>
    </w:p>
  </w:footnote>
  <w:footnote w:id="9">
    <w:p w14:paraId="12DB4BBF" w14:textId="77777777" w:rsidR="00382023" w:rsidRPr="004E38DF" w:rsidRDefault="00382023" w:rsidP="00E00696">
      <w:pPr>
        <w:pStyle w:val="FootnoteText"/>
        <w:jc w:val="both"/>
        <w:rPr>
          <w:lang w:val="en-US"/>
        </w:rPr>
      </w:pPr>
      <w:r w:rsidRPr="004E38DF">
        <w:rPr>
          <w:rStyle w:val="FootnoteReference"/>
        </w:rPr>
        <w:footnoteRef/>
      </w:r>
      <w:r w:rsidRPr="004E38DF">
        <w:rPr>
          <w:lang w:val="en-US"/>
        </w:rPr>
        <w:t xml:space="preserve"> Cyprus, The Municipal and Community Elections (National of Other Member States) Law of 2004 (98(I)/2004) (</w:t>
      </w:r>
      <w:r w:rsidRPr="004E38DF">
        <w:rPr>
          <w:rFonts w:cs="Times New Roman"/>
        </w:rPr>
        <w:t>Ο</w:t>
      </w:r>
      <w:r w:rsidRPr="004E38DF">
        <w:rPr>
          <w:rFonts w:cs="Times New Roman"/>
          <w:lang w:val="en-US"/>
        </w:rPr>
        <w:t xml:space="preserve"> </w:t>
      </w:r>
      <w:r w:rsidRPr="004E38DF">
        <w:rPr>
          <w:rFonts w:cs="Times New Roman"/>
        </w:rPr>
        <w:t>Περί</w:t>
      </w:r>
      <w:r w:rsidRPr="004E38DF">
        <w:rPr>
          <w:rFonts w:cs="Times New Roman"/>
          <w:lang w:val="en-US"/>
        </w:rPr>
        <w:t xml:space="preserve"> </w:t>
      </w:r>
      <w:r w:rsidRPr="004E38DF">
        <w:rPr>
          <w:rFonts w:cs="Times New Roman"/>
        </w:rPr>
        <w:t>Δημοτικών</w:t>
      </w:r>
      <w:r w:rsidRPr="004E38DF">
        <w:rPr>
          <w:rFonts w:cs="Times New Roman"/>
          <w:lang w:val="en-US"/>
        </w:rPr>
        <w:t xml:space="preserve"> </w:t>
      </w:r>
      <w:r w:rsidRPr="004E38DF">
        <w:rPr>
          <w:rFonts w:cs="Times New Roman"/>
        </w:rPr>
        <w:t>και</w:t>
      </w:r>
      <w:r w:rsidRPr="004E38DF">
        <w:rPr>
          <w:rFonts w:cs="Times New Roman"/>
          <w:lang w:val="en-US"/>
        </w:rPr>
        <w:t xml:space="preserve"> </w:t>
      </w:r>
      <w:r w:rsidRPr="004E38DF">
        <w:rPr>
          <w:rFonts w:cs="Times New Roman"/>
        </w:rPr>
        <w:t>Κοινοτικών</w:t>
      </w:r>
      <w:r w:rsidRPr="004E38DF">
        <w:rPr>
          <w:rFonts w:cs="Times New Roman"/>
          <w:lang w:val="en-US"/>
        </w:rPr>
        <w:t xml:space="preserve"> </w:t>
      </w:r>
      <w:r w:rsidRPr="004E38DF">
        <w:rPr>
          <w:rFonts w:cs="Times New Roman"/>
        </w:rPr>
        <w:t>Εκλογών</w:t>
      </w:r>
      <w:r w:rsidRPr="004E38DF">
        <w:rPr>
          <w:rFonts w:cs="Times New Roman"/>
          <w:lang w:val="en-US"/>
        </w:rPr>
        <w:t xml:space="preserve"> (</w:t>
      </w:r>
      <w:r w:rsidRPr="004E38DF">
        <w:rPr>
          <w:rFonts w:cs="Times New Roman"/>
        </w:rPr>
        <w:t>Υπήκοοι</w:t>
      </w:r>
      <w:r w:rsidRPr="004E38DF">
        <w:rPr>
          <w:rFonts w:cs="Times New Roman"/>
          <w:lang w:val="en-US"/>
        </w:rPr>
        <w:t xml:space="preserve"> </w:t>
      </w:r>
      <w:r w:rsidRPr="004E38DF">
        <w:rPr>
          <w:rFonts w:cs="Times New Roman"/>
        </w:rPr>
        <w:t>Άλλων</w:t>
      </w:r>
      <w:r w:rsidRPr="004E38DF">
        <w:rPr>
          <w:rFonts w:cs="Times New Roman"/>
          <w:lang w:val="en-US"/>
        </w:rPr>
        <w:t xml:space="preserve"> </w:t>
      </w:r>
      <w:r w:rsidRPr="004E38DF">
        <w:rPr>
          <w:rFonts w:cs="Times New Roman"/>
        </w:rPr>
        <w:t>Κρατών</w:t>
      </w:r>
      <w:r w:rsidRPr="004E38DF">
        <w:rPr>
          <w:rFonts w:cs="Times New Roman"/>
          <w:lang w:val="en-US"/>
        </w:rPr>
        <w:t xml:space="preserve"> </w:t>
      </w:r>
      <w:r w:rsidRPr="004E38DF">
        <w:rPr>
          <w:rFonts w:cs="Times New Roman"/>
        </w:rPr>
        <w:t>Μελών</w:t>
      </w:r>
      <w:r w:rsidRPr="004E38DF">
        <w:rPr>
          <w:rFonts w:cs="Times New Roman"/>
          <w:lang w:val="en-US"/>
        </w:rPr>
        <w:t xml:space="preserve">) </w:t>
      </w:r>
      <w:r w:rsidRPr="004E38DF">
        <w:rPr>
          <w:rFonts w:cs="Times New Roman"/>
        </w:rPr>
        <w:t>Νόμος</w:t>
      </w:r>
      <w:r w:rsidRPr="004E38DF">
        <w:rPr>
          <w:rFonts w:cs="Times New Roman"/>
          <w:lang w:val="en-US"/>
        </w:rPr>
        <w:t xml:space="preserve">), </w:t>
      </w:r>
      <w:r w:rsidRPr="004E38DF">
        <w:rPr>
          <w:lang w:val="en-US"/>
        </w:rPr>
        <w:t xml:space="preserve">last amended with </w:t>
      </w:r>
      <w:r w:rsidRPr="004E38DF">
        <w:rPr>
          <w:rStyle w:val="Strong"/>
          <w:b w:val="0"/>
          <w:lang w:val="en-US"/>
        </w:rPr>
        <w:t xml:space="preserve">38(I)/2010 and 46(I)/2010. </w:t>
      </w:r>
      <w:r w:rsidRPr="004E38DF">
        <w:rPr>
          <w:rFonts w:cs="Times New Roman"/>
          <w:lang w:val="en-US"/>
        </w:rPr>
        <w:t xml:space="preserve">. Available at: </w:t>
      </w:r>
      <w:hyperlink r:id="rId9" w:history="1">
        <w:r w:rsidRPr="004E38DF">
          <w:rPr>
            <w:rStyle w:val="Hyperlink"/>
            <w:rFonts w:cs="Times New Roman"/>
            <w:lang w:val="en-US"/>
          </w:rPr>
          <w:t>www.cylaw.org/nomoi/enop/non-ind/2004_1_98/full.html</w:t>
        </w:r>
      </w:hyperlink>
      <w:r w:rsidRPr="004E38DF">
        <w:rPr>
          <w:rStyle w:val="Hyperlink"/>
          <w:rFonts w:cs="Times New Roman"/>
          <w:lang w:val="en-US"/>
        </w:rPr>
        <w:t xml:space="preserve"> </w:t>
      </w:r>
    </w:p>
  </w:footnote>
  <w:footnote w:id="10">
    <w:p w14:paraId="3A048B56" w14:textId="77777777" w:rsidR="00382023" w:rsidRPr="004E38DF" w:rsidRDefault="00382023" w:rsidP="00C148DD">
      <w:pPr>
        <w:pStyle w:val="FootnoteText"/>
        <w:jc w:val="both"/>
        <w:rPr>
          <w:rFonts w:cs="Times New Roman"/>
          <w:lang w:val="en-US"/>
        </w:rPr>
      </w:pPr>
      <w:r w:rsidRPr="004E38DF">
        <w:rPr>
          <w:rStyle w:val="FootnoteReference"/>
          <w:rFonts w:cs="Times New Roman"/>
        </w:rPr>
        <w:footnoteRef/>
      </w:r>
      <w:r w:rsidRPr="004E38DF">
        <w:rPr>
          <w:rFonts w:cs="Times New Roman"/>
          <w:lang w:val="en-US"/>
        </w:rPr>
        <w:t xml:space="preserve"> Cyprus, The </w:t>
      </w:r>
      <w:r w:rsidRPr="004E38DF">
        <w:rPr>
          <w:rStyle w:val="Strong"/>
          <w:b w:val="0"/>
          <w:lang w:val="en-US"/>
        </w:rPr>
        <w:t>Registration of Voters and Electoral List Law of 1980 (40/1980) (</w:t>
      </w:r>
      <w:r w:rsidRPr="004E38DF">
        <w:rPr>
          <w:rStyle w:val="Strong"/>
          <w:b w:val="0"/>
        </w:rPr>
        <w:t>Ο</w:t>
      </w:r>
      <w:r w:rsidRPr="004E38DF">
        <w:rPr>
          <w:rStyle w:val="Strong"/>
          <w:b w:val="0"/>
          <w:lang w:val="en-US"/>
        </w:rPr>
        <w:t xml:space="preserve"> </w:t>
      </w:r>
      <w:r w:rsidRPr="004E38DF">
        <w:rPr>
          <w:rStyle w:val="Strong"/>
          <w:b w:val="0"/>
        </w:rPr>
        <w:t>Περί</w:t>
      </w:r>
      <w:r w:rsidRPr="004E38DF">
        <w:rPr>
          <w:rStyle w:val="Strong"/>
          <w:b w:val="0"/>
          <w:lang w:val="en-US"/>
        </w:rPr>
        <w:t xml:space="preserve"> </w:t>
      </w:r>
      <w:r w:rsidRPr="004E38DF">
        <w:rPr>
          <w:rStyle w:val="Strong"/>
          <w:b w:val="0"/>
        </w:rPr>
        <w:t>Εγγραφής</w:t>
      </w:r>
      <w:r w:rsidRPr="004E38DF">
        <w:rPr>
          <w:rStyle w:val="Strong"/>
          <w:b w:val="0"/>
          <w:lang w:val="en-US"/>
        </w:rPr>
        <w:t xml:space="preserve"> </w:t>
      </w:r>
      <w:r w:rsidRPr="004E38DF">
        <w:rPr>
          <w:rStyle w:val="Strong"/>
          <w:b w:val="0"/>
        </w:rPr>
        <w:t>Εκλογέων</w:t>
      </w:r>
      <w:r w:rsidRPr="004E38DF">
        <w:rPr>
          <w:rStyle w:val="Strong"/>
          <w:b w:val="0"/>
          <w:lang w:val="en-US"/>
        </w:rPr>
        <w:t xml:space="preserve"> </w:t>
      </w:r>
      <w:r w:rsidRPr="004E38DF">
        <w:rPr>
          <w:rStyle w:val="Strong"/>
          <w:b w:val="0"/>
        </w:rPr>
        <w:t>και</w:t>
      </w:r>
      <w:r w:rsidRPr="004E38DF">
        <w:rPr>
          <w:rStyle w:val="Strong"/>
          <w:b w:val="0"/>
          <w:lang w:val="en-US"/>
        </w:rPr>
        <w:t xml:space="preserve"> </w:t>
      </w:r>
      <w:r w:rsidRPr="004E38DF">
        <w:rPr>
          <w:rStyle w:val="Strong"/>
          <w:b w:val="0"/>
        </w:rPr>
        <w:t>Εκλογικού</w:t>
      </w:r>
      <w:r w:rsidRPr="004E38DF">
        <w:rPr>
          <w:rStyle w:val="Strong"/>
          <w:b w:val="0"/>
          <w:lang w:val="en-US"/>
        </w:rPr>
        <w:t xml:space="preserve"> </w:t>
      </w:r>
      <w:r w:rsidRPr="004E38DF">
        <w:rPr>
          <w:rStyle w:val="Strong"/>
          <w:b w:val="0"/>
        </w:rPr>
        <w:t>Καταλόγου</w:t>
      </w:r>
      <w:r w:rsidRPr="004E38DF">
        <w:rPr>
          <w:rStyle w:val="Strong"/>
          <w:b w:val="0"/>
          <w:lang w:val="en-US"/>
        </w:rPr>
        <w:t xml:space="preserve"> </w:t>
      </w:r>
      <w:r w:rsidRPr="004E38DF">
        <w:rPr>
          <w:rStyle w:val="Strong"/>
          <w:b w:val="0"/>
        </w:rPr>
        <w:t>Νόμος</w:t>
      </w:r>
      <w:r w:rsidRPr="004E38DF">
        <w:rPr>
          <w:rStyle w:val="Strong"/>
          <w:b w:val="0"/>
          <w:lang w:val="en-US"/>
        </w:rPr>
        <w:t xml:space="preserve"> </w:t>
      </w:r>
      <w:r w:rsidRPr="004E38DF">
        <w:rPr>
          <w:rStyle w:val="Strong"/>
          <w:b w:val="0"/>
        </w:rPr>
        <w:t>του</w:t>
      </w:r>
      <w:r w:rsidRPr="004E38DF">
        <w:rPr>
          <w:rStyle w:val="Strong"/>
          <w:b w:val="0"/>
          <w:lang w:val="en-US"/>
        </w:rPr>
        <w:t xml:space="preserve"> 1980), last amended 4(I</w:t>
      </w:r>
      <w:proofErr w:type="gramStart"/>
      <w:r w:rsidRPr="004E38DF">
        <w:rPr>
          <w:rStyle w:val="Strong"/>
          <w:b w:val="0"/>
          <w:lang w:val="en-US"/>
        </w:rPr>
        <w:t>)2003</w:t>
      </w:r>
      <w:proofErr w:type="gramEnd"/>
      <w:r w:rsidRPr="004E38DF">
        <w:rPr>
          <w:rStyle w:val="Strong"/>
          <w:b w:val="0"/>
          <w:lang w:val="en-US"/>
        </w:rPr>
        <w:t xml:space="preserve">. Available at: </w:t>
      </w:r>
      <w:hyperlink r:id="rId10" w:history="1">
        <w:r w:rsidRPr="004E38DF">
          <w:rPr>
            <w:rStyle w:val="Hyperlink"/>
            <w:rFonts w:cs="Times New Roman"/>
            <w:lang w:val="en-US"/>
          </w:rPr>
          <w:t>www.cylaw.org/nomoi/enop/non-ind/1980_1_40/index.html</w:t>
        </w:r>
      </w:hyperlink>
      <w:r w:rsidRPr="004E38DF">
        <w:rPr>
          <w:rStyle w:val="Strong"/>
          <w:b w:val="0"/>
          <w:lang w:val="en-US"/>
        </w:rPr>
        <w:t xml:space="preserve"> </w:t>
      </w:r>
    </w:p>
  </w:footnote>
  <w:footnote w:id="11">
    <w:p w14:paraId="0E60EA7F" w14:textId="3CAF2BA9" w:rsidR="00382023" w:rsidRPr="004E38DF" w:rsidRDefault="00382023" w:rsidP="00E00696">
      <w:pPr>
        <w:pStyle w:val="FootnoteText"/>
        <w:jc w:val="both"/>
        <w:rPr>
          <w:lang w:val="en-IE"/>
        </w:rPr>
      </w:pPr>
      <w:r w:rsidRPr="004E38DF">
        <w:rPr>
          <w:rStyle w:val="FootnoteReference"/>
        </w:rPr>
        <w:footnoteRef/>
      </w:r>
      <w:r w:rsidRPr="004E38DF">
        <w:t xml:space="preserve"> </w:t>
      </w:r>
      <w:proofErr w:type="gramStart"/>
      <w:r w:rsidRPr="004E38DF">
        <w:rPr>
          <w:lang w:val="en-IE"/>
        </w:rPr>
        <w:t xml:space="preserve">OSCE/ODIHR election monitoring reports, 2013, </w:t>
      </w:r>
      <w:hyperlink r:id="rId11" w:history="1">
        <w:r w:rsidRPr="004E38DF">
          <w:rPr>
            <w:rStyle w:val="Hyperlink"/>
            <w:lang w:val="en-IE"/>
          </w:rPr>
          <w:t>http://www.osce.org/odihr/elections/98755</w:t>
        </w:r>
      </w:hyperlink>
      <w:r w:rsidRPr="004E38DF">
        <w:rPr>
          <w:lang w:val="en-IE"/>
        </w:rPr>
        <w:t>.</w:t>
      </w:r>
      <w:proofErr w:type="gramEnd"/>
    </w:p>
  </w:footnote>
  <w:footnote w:id="12">
    <w:p w14:paraId="12DB4BC1" w14:textId="7CA2989C" w:rsidR="00382023" w:rsidRPr="004E38DF" w:rsidRDefault="00382023" w:rsidP="00E00696">
      <w:pPr>
        <w:pStyle w:val="FootnoteText"/>
        <w:jc w:val="both"/>
        <w:rPr>
          <w:lang w:val="en-US"/>
        </w:rPr>
      </w:pPr>
      <w:r w:rsidRPr="004E38DF">
        <w:rPr>
          <w:rStyle w:val="FootnoteReference"/>
        </w:rPr>
        <w:footnoteRef/>
      </w:r>
      <w:r w:rsidRPr="004E38DF">
        <w:rPr>
          <w:lang w:val="en-US"/>
        </w:rPr>
        <w:t xml:space="preserve"> Information obtained from the Central Election Service (</w:t>
      </w:r>
      <w:r w:rsidRPr="004E38DF">
        <w:t>Κεντρική</w:t>
      </w:r>
      <w:r w:rsidRPr="004E38DF">
        <w:rPr>
          <w:lang w:val="en-US"/>
        </w:rPr>
        <w:t xml:space="preserve"> </w:t>
      </w:r>
      <w:r w:rsidRPr="004E38DF">
        <w:t>Υπηρεσία</w:t>
      </w:r>
      <w:r w:rsidRPr="004E38DF">
        <w:rPr>
          <w:lang w:val="en-US"/>
        </w:rPr>
        <w:t xml:space="preserve"> </w:t>
      </w:r>
      <w:r w:rsidRPr="004E38DF">
        <w:t>Εκλογών</w:t>
      </w:r>
      <w:r w:rsidRPr="004E38DF">
        <w:rPr>
          <w:lang w:val="en-US"/>
        </w:rPr>
        <w:t xml:space="preserve">). </w:t>
      </w:r>
    </w:p>
  </w:footnote>
  <w:footnote w:id="13">
    <w:p w14:paraId="14B797DD" w14:textId="1CF60F48" w:rsidR="00382023" w:rsidRPr="004E38DF" w:rsidRDefault="00382023" w:rsidP="00E00696">
      <w:pPr>
        <w:pStyle w:val="FootnoteText"/>
        <w:jc w:val="both"/>
      </w:pPr>
      <w:r w:rsidRPr="004E38DF">
        <w:rPr>
          <w:rStyle w:val="FootnoteReference"/>
        </w:rPr>
        <w:footnoteRef/>
      </w:r>
      <w:r w:rsidRPr="004E38DF">
        <w:t xml:space="preserve"> </w:t>
      </w:r>
      <w:r w:rsidRPr="004E38DF">
        <w:rPr>
          <w:lang w:val="en-IE"/>
        </w:rPr>
        <w:t xml:space="preserve">OSCE/ODIHR election monitoring reports, Parliamentary elections, 17 Feb 2013, </w:t>
      </w:r>
      <w:hyperlink r:id="rId12" w:history="1">
        <w:r w:rsidRPr="004E38DF">
          <w:rPr>
            <w:rStyle w:val="Hyperlink"/>
            <w:color w:val="auto"/>
            <w:lang w:val="en-IE"/>
          </w:rPr>
          <w:t>http://www.osce.org/odihr/elections/82242</w:t>
        </w:r>
      </w:hyperlink>
    </w:p>
  </w:footnote>
  <w:footnote w:id="14">
    <w:p w14:paraId="3D2D7EE1" w14:textId="77777777" w:rsidR="00382023" w:rsidRPr="004E38DF" w:rsidRDefault="00382023" w:rsidP="00E00696">
      <w:pPr>
        <w:pStyle w:val="FootnoteText"/>
        <w:jc w:val="both"/>
      </w:pPr>
      <w:r w:rsidRPr="004E38DF">
        <w:rPr>
          <w:rStyle w:val="FootnoteReference"/>
        </w:rPr>
        <w:footnoteRef/>
      </w:r>
      <w:r w:rsidRPr="004E38DF">
        <w:t xml:space="preserve"> </w:t>
      </w:r>
      <w:proofErr w:type="spellStart"/>
      <w:r w:rsidRPr="004E38DF">
        <w:t>See</w:t>
      </w:r>
      <w:proofErr w:type="spellEnd"/>
      <w:r w:rsidRPr="004E38DF">
        <w:t xml:space="preserve"> </w:t>
      </w:r>
      <w:proofErr w:type="spellStart"/>
      <w:r w:rsidRPr="004E38DF">
        <w:t>the</w:t>
      </w:r>
      <w:proofErr w:type="spellEnd"/>
      <w:r w:rsidRPr="004E38DF">
        <w:t xml:space="preserve"> </w:t>
      </w:r>
      <w:proofErr w:type="spellStart"/>
      <w:r w:rsidRPr="004E38DF">
        <w:t>Charter</w:t>
      </w:r>
      <w:proofErr w:type="spellEnd"/>
      <w:r w:rsidRPr="004E38DF">
        <w:t xml:space="preserve"> </w:t>
      </w:r>
      <w:proofErr w:type="spellStart"/>
      <w:r w:rsidRPr="004E38DF">
        <w:t>of</w:t>
      </w:r>
      <w:proofErr w:type="spellEnd"/>
      <w:r w:rsidRPr="004E38DF">
        <w:t xml:space="preserve"> Fundamental Rights </w:t>
      </w:r>
      <w:proofErr w:type="spellStart"/>
      <w:r w:rsidRPr="004E38DF">
        <w:t>of</w:t>
      </w:r>
      <w:proofErr w:type="spellEnd"/>
      <w:r w:rsidRPr="004E38DF">
        <w:t xml:space="preserve"> </w:t>
      </w:r>
      <w:proofErr w:type="spellStart"/>
      <w:r w:rsidRPr="004E38DF">
        <w:t>the</w:t>
      </w:r>
      <w:proofErr w:type="spellEnd"/>
      <w:r w:rsidRPr="004E38DF">
        <w:t xml:space="preserve"> </w:t>
      </w:r>
      <w:proofErr w:type="spellStart"/>
      <w:r w:rsidRPr="004E38DF">
        <w:t>European</w:t>
      </w:r>
      <w:proofErr w:type="spellEnd"/>
      <w:r w:rsidRPr="004E38DF">
        <w:t xml:space="preserve"> </w:t>
      </w:r>
      <w:proofErr w:type="spellStart"/>
      <w:r w:rsidRPr="004E38DF">
        <w:t>Union</w:t>
      </w:r>
      <w:proofErr w:type="spellEnd"/>
      <w:r w:rsidRPr="004E38DF">
        <w:t xml:space="preserve"> </w:t>
      </w:r>
      <w:proofErr w:type="spellStart"/>
      <w:r w:rsidRPr="004E38DF">
        <w:t>article</w:t>
      </w:r>
      <w:proofErr w:type="spellEnd"/>
      <w:r w:rsidRPr="004E38DF">
        <w:t xml:space="preserve"> 21 </w:t>
      </w:r>
      <w:proofErr w:type="spellStart"/>
      <w:r w:rsidRPr="004E38DF">
        <w:t>and</w:t>
      </w:r>
      <w:proofErr w:type="spellEnd"/>
      <w:r w:rsidRPr="004E38DF">
        <w:t xml:space="preserve"> 39, </w:t>
      </w:r>
      <w:proofErr w:type="spellStart"/>
      <w:r w:rsidRPr="004E38DF">
        <w:t>numerous</w:t>
      </w:r>
      <w:proofErr w:type="spellEnd"/>
      <w:r w:rsidRPr="004E38DF">
        <w:t xml:space="preserve"> </w:t>
      </w:r>
      <w:proofErr w:type="spellStart"/>
      <w:r w:rsidRPr="004E38DF">
        <w:t>provisions</w:t>
      </w:r>
      <w:proofErr w:type="spellEnd"/>
      <w:r w:rsidRPr="004E38DF">
        <w:t xml:space="preserve"> </w:t>
      </w:r>
      <w:proofErr w:type="spellStart"/>
      <w:r w:rsidRPr="004E38DF">
        <w:t>of</w:t>
      </w:r>
      <w:proofErr w:type="spellEnd"/>
      <w:r w:rsidRPr="004E38DF">
        <w:t xml:space="preserve"> CRPD </w:t>
      </w:r>
      <w:proofErr w:type="spellStart"/>
      <w:r w:rsidRPr="004E38DF">
        <w:t>including</w:t>
      </w:r>
      <w:proofErr w:type="spellEnd"/>
      <w:r w:rsidRPr="004E38DF">
        <w:t xml:space="preserve"> </w:t>
      </w:r>
      <w:proofErr w:type="spellStart"/>
      <w:r w:rsidRPr="004E38DF">
        <w:t>article</w:t>
      </w:r>
      <w:proofErr w:type="spellEnd"/>
      <w:r w:rsidRPr="004E38DF">
        <w:t xml:space="preserve"> 29, ICCPR </w:t>
      </w:r>
      <w:proofErr w:type="spellStart"/>
      <w:r w:rsidRPr="004E38DF">
        <w:t>article</w:t>
      </w:r>
      <w:proofErr w:type="spellEnd"/>
      <w:r w:rsidRPr="004E38DF">
        <w:t xml:space="preserve"> 25(b), </w:t>
      </w:r>
      <w:proofErr w:type="spellStart"/>
      <w:r w:rsidRPr="004E38DF">
        <w:t>Copenhagen</w:t>
      </w:r>
      <w:proofErr w:type="spellEnd"/>
      <w:r w:rsidRPr="004E38DF">
        <w:t xml:space="preserve"> </w:t>
      </w:r>
      <w:proofErr w:type="spellStart"/>
      <w:r w:rsidRPr="004E38DF">
        <w:t>Document</w:t>
      </w:r>
      <w:proofErr w:type="spellEnd"/>
      <w:r w:rsidRPr="004E38DF">
        <w:t xml:space="preserve"> </w:t>
      </w:r>
      <w:proofErr w:type="spellStart"/>
      <w:r w:rsidRPr="004E38DF">
        <w:t>paragraph</w:t>
      </w:r>
      <w:proofErr w:type="spellEnd"/>
      <w:r w:rsidRPr="004E38DF">
        <w:t xml:space="preserve"> 7.4.  </w:t>
      </w:r>
    </w:p>
  </w:footnote>
  <w:footnote w:id="15">
    <w:p w14:paraId="06852C9A" w14:textId="1BF02859" w:rsidR="00382023" w:rsidRPr="004E38DF" w:rsidRDefault="00382023" w:rsidP="00E00696">
      <w:pPr>
        <w:pStyle w:val="FootnoteText"/>
        <w:jc w:val="both"/>
        <w:rPr>
          <w:lang w:val="en-IE"/>
        </w:rPr>
      </w:pPr>
      <w:r w:rsidRPr="004E38DF">
        <w:rPr>
          <w:rStyle w:val="FootnoteReference"/>
        </w:rPr>
        <w:footnoteRef/>
      </w:r>
      <w:r w:rsidRPr="004E38DF">
        <w:t xml:space="preserve"> </w:t>
      </w:r>
      <w:proofErr w:type="gramStart"/>
      <w:r w:rsidRPr="004E38DF">
        <w:rPr>
          <w:lang w:val="en-IE"/>
        </w:rPr>
        <w:t xml:space="preserve">OSCE/ODIHR election monitoring reports, </w:t>
      </w:r>
      <w:r w:rsidRPr="004E38DF">
        <w:rPr>
          <w:iCs/>
          <w:lang w:val="en-IE"/>
        </w:rPr>
        <w:t xml:space="preserve">P. 6, </w:t>
      </w:r>
      <w:hyperlink r:id="rId13" w:history="1">
        <w:r w:rsidRPr="004E38DF">
          <w:rPr>
            <w:rStyle w:val="Hyperlink"/>
            <w:lang w:val="en-IE"/>
          </w:rPr>
          <w:t>http://www.osce.org/odihr/elections/82242</w:t>
        </w:r>
      </w:hyperlink>
      <w:r w:rsidRPr="004E38DF">
        <w:rPr>
          <w:lang w:val="en-IE"/>
        </w:rPr>
        <w:t>.</w:t>
      </w:r>
      <w:proofErr w:type="gramEnd"/>
    </w:p>
  </w:footnote>
  <w:footnote w:id="16">
    <w:p w14:paraId="12DB4BC2" w14:textId="77777777" w:rsidR="00382023" w:rsidRPr="004E38DF" w:rsidRDefault="00382023" w:rsidP="00E00696">
      <w:pPr>
        <w:pStyle w:val="FootnoteText"/>
        <w:jc w:val="both"/>
        <w:rPr>
          <w:rFonts w:cs="Times New Roman"/>
          <w:lang w:val="en-US"/>
        </w:rPr>
      </w:pPr>
      <w:r w:rsidRPr="004E38DF">
        <w:rPr>
          <w:rStyle w:val="FootnoteReference"/>
          <w:rFonts w:cs="Times New Roman"/>
        </w:rPr>
        <w:footnoteRef/>
      </w:r>
      <w:r w:rsidRPr="004E38DF">
        <w:rPr>
          <w:rFonts w:cs="Times New Roman"/>
          <w:lang w:val="en-US"/>
        </w:rPr>
        <w:t xml:space="preserve"> For Level AA conformance, the Web page satisfies all the Level A and Level AA Success Criteria, or a Level AA conforming alternate version is provided. For more information, please see: </w:t>
      </w:r>
      <w:hyperlink r:id="rId14" w:anchor="uc-conformance-requirements-head" w:history="1">
        <w:r w:rsidRPr="004E38DF">
          <w:rPr>
            <w:rStyle w:val="Hyperlink"/>
            <w:rFonts w:cs="Times New Roman"/>
            <w:lang w:val="en-US"/>
          </w:rPr>
          <w:t>http://www.w3.org/TR/UNDERSTANDING-WCAG20/conformance.html#uc-conformance-requirements-head</w:t>
        </w:r>
      </w:hyperlink>
      <w:r w:rsidRPr="004E38DF">
        <w:rPr>
          <w:rFonts w:cs="Times New Roman"/>
          <w:lang w:val="en-US"/>
        </w:rPr>
        <w:t xml:space="preserve">. </w:t>
      </w:r>
    </w:p>
  </w:footnote>
  <w:footnote w:id="17">
    <w:p w14:paraId="12DB4BC3" w14:textId="77777777" w:rsidR="00382023" w:rsidRPr="004E38DF" w:rsidRDefault="00382023" w:rsidP="00E00696">
      <w:pPr>
        <w:pStyle w:val="FootnoteText"/>
        <w:jc w:val="both"/>
        <w:rPr>
          <w:rFonts w:cs="Times New Roman"/>
          <w:lang w:val="en-US"/>
        </w:rPr>
      </w:pPr>
      <w:r w:rsidRPr="004E38DF">
        <w:rPr>
          <w:rStyle w:val="FootnoteReference"/>
          <w:rFonts w:cs="Times New Roman"/>
        </w:rPr>
        <w:footnoteRef/>
      </w:r>
      <w:r w:rsidRPr="004E38DF">
        <w:rPr>
          <w:rFonts w:cs="Times New Roman"/>
          <w:lang w:val="en-US"/>
        </w:rPr>
        <w:t xml:space="preserve"> Cyprus, Convention on the Rights of Persons with Disabilities and Related Issues (Ratification) Law of 2011 (</w:t>
      </w:r>
      <w:r w:rsidRPr="004E38DF">
        <w:rPr>
          <w:rFonts w:cs="Times New Roman"/>
        </w:rPr>
        <w:t>Σύμβαση</w:t>
      </w:r>
      <w:r w:rsidRPr="004E38DF">
        <w:rPr>
          <w:rFonts w:cs="Times New Roman"/>
          <w:lang w:val="en-US"/>
        </w:rPr>
        <w:t xml:space="preserve"> </w:t>
      </w:r>
      <w:r w:rsidRPr="004E38DF">
        <w:rPr>
          <w:rFonts w:cs="Times New Roman"/>
        </w:rPr>
        <w:t>των</w:t>
      </w:r>
      <w:r w:rsidRPr="004E38DF">
        <w:rPr>
          <w:rFonts w:cs="Times New Roman"/>
          <w:lang w:val="en-US"/>
        </w:rPr>
        <w:t xml:space="preserve"> </w:t>
      </w:r>
      <w:r w:rsidRPr="004E38DF">
        <w:rPr>
          <w:rFonts w:cs="Times New Roman"/>
        </w:rPr>
        <w:t>Δικαιωμάτων</w:t>
      </w:r>
      <w:r w:rsidRPr="004E38DF">
        <w:rPr>
          <w:rFonts w:cs="Times New Roman"/>
          <w:lang w:val="en-US"/>
        </w:rPr>
        <w:t xml:space="preserve"> </w:t>
      </w:r>
      <w:r w:rsidRPr="004E38DF">
        <w:rPr>
          <w:rFonts w:cs="Times New Roman"/>
        </w:rPr>
        <w:t>των</w:t>
      </w:r>
      <w:r w:rsidRPr="004E38DF">
        <w:rPr>
          <w:rFonts w:cs="Times New Roman"/>
          <w:lang w:val="en-US"/>
        </w:rPr>
        <w:t xml:space="preserve"> </w:t>
      </w:r>
      <w:r w:rsidRPr="004E38DF">
        <w:rPr>
          <w:rFonts w:cs="Times New Roman"/>
        </w:rPr>
        <w:t>Ατόμων</w:t>
      </w:r>
      <w:r w:rsidRPr="004E38DF">
        <w:rPr>
          <w:rFonts w:cs="Times New Roman"/>
          <w:lang w:val="en-US"/>
        </w:rPr>
        <w:t xml:space="preserve"> </w:t>
      </w:r>
      <w:r w:rsidRPr="004E38DF">
        <w:rPr>
          <w:rFonts w:cs="Times New Roman"/>
        </w:rPr>
        <w:t>με</w:t>
      </w:r>
      <w:r w:rsidRPr="004E38DF">
        <w:rPr>
          <w:rFonts w:cs="Times New Roman"/>
          <w:lang w:val="en-US"/>
        </w:rPr>
        <w:t xml:space="preserve"> </w:t>
      </w:r>
      <w:r w:rsidRPr="004E38DF">
        <w:rPr>
          <w:rFonts w:cs="Times New Roman"/>
        </w:rPr>
        <w:t>Αναπηρία</w:t>
      </w:r>
      <w:r w:rsidRPr="004E38DF">
        <w:rPr>
          <w:rFonts w:cs="Times New Roman"/>
          <w:lang w:val="en-US"/>
        </w:rPr>
        <w:t xml:space="preserve"> -  </w:t>
      </w:r>
      <w:r w:rsidRPr="004E38DF">
        <w:rPr>
          <w:rFonts w:cs="Times New Roman"/>
        </w:rPr>
        <w:t>Κυρωτικός</w:t>
      </w:r>
      <w:r w:rsidRPr="004E38DF">
        <w:rPr>
          <w:rFonts w:cs="Times New Roman"/>
          <w:lang w:val="en-US"/>
        </w:rPr>
        <w:t xml:space="preserve"> 8(</w:t>
      </w:r>
      <w:r w:rsidRPr="004E38DF">
        <w:rPr>
          <w:rFonts w:cs="Times New Roman"/>
        </w:rPr>
        <w:t>ΙΙΙ</w:t>
      </w:r>
      <w:r w:rsidRPr="004E38DF">
        <w:rPr>
          <w:rFonts w:cs="Times New Roman"/>
          <w:lang w:val="en-US"/>
        </w:rPr>
        <w:t>) 2011)</w:t>
      </w:r>
    </w:p>
  </w:footnote>
  <w:footnote w:id="18">
    <w:p w14:paraId="12DB4BC4" w14:textId="77777777" w:rsidR="00382023" w:rsidRPr="004E38DF" w:rsidRDefault="00382023" w:rsidP="00E00696">
      <w:pPr>
        <w:pStyle w:val="FootnoteText"/>
        <w:jc w:val="both"/>
        <w:rPr>
          <w:rFonts w:cs="Times New Roman"/>
          <w:lang w:val="en-US"/>
        </w:rPr>
      </w:pPr>
      <w:r w:rsidRPr="004E38DF">
        <w:rPr>
          <w:rStyle w:val="FootnoteReference"/>
          <w:rFonts w:cs="Times New Roman"/>
        </w:rPr>
        <w:footnoteRef/>
      </w:r>
      <w:r w:rsidRPr="004E38DF">
        <w:rPr>
          <w:rFonts w:cs="Times New Roman"/>
          <w:lang w:val="en-US"/>
        </w:rPr>
        <w:t xml:space="preserve"> Cyprus, Persons with disabilities Law of 2000 (127(</w:t>
      </w:r>
      <w:r w:rsidRPr="004E38DF">
        <w:rPr>
          <w:rFonts w:cs="Times New Roman"/>
        </w:rPr>
        <w:t>Ι</w:t>
      </w:r>
      <w:r w:rsidRPr="004E38DF">
        <w:rPr>
          <w:rFonts w:cs="Times New Roman"/>
          <w:lang w:val="en-US"/>
        </w:rPr>
        <w:t>)/2000), (</w:t>
      </w:r>
      <w:r w:rsidRPr="004E38DF">
        <w:rPr>
          <w:rFonts w:cs="Times New Roman"/>
        </w:rPr>
        <w:t>Ο</w:t>
      </w:r>
      <w:r w:rsidRPr="004E38DF">
        <w:rPr>
          <w:rFonts w:cs="Times New Roman"/>
          <w:lang w:val="en-US"/>
        </w:rPr>
        <w:t xml:space="preserve"> </w:t>
      </w:r>
      <w:r w:rsidRPr="004E38DF">
        <w:rPr>
          <w:rFonts w:cs="Times New Roman"/>
        </w:rPr>
        <w:t>Περί</w:t>
      </w:r>
      <w:r w:rsidRPr="004E38DF">
        <w:rPr>
          <w:rFonts w:cs="Times New Roman"/>
          <w:lang w:val="en-US"/>
        </w:rPr>
        <w:t xml:space="preserve"> </w:t>
      </w:r>
      <w:r w:rsidRPr="004E38DF">
        <w:rPr>
          <w:rFonts w:cs="Times New Roman"/>
        </w:rPr>
        <w:t>Ατόμων</w:t>
      </w:r>
      <w:r w:rsidRPr="004E38DF">
        <w:rPr>
          <w:rFonts w:cs="Times New Roman"/>
          <w:lang w:val="en-US"/>
        </w:rPr>
        <w:t xml:space="preserve"> </w:t>
      </w:r>
      <w:r w:rsidRPr="004E38DF">
        <w:rPr>
          <w:rFonts w:cs="Times New Roman"/>
        </w:rPr>
        <w:t>με</w:t>
      </w:r>
      <w:r w:rsidRPr="004E38DF">
        <w:rPr>
          <w:rFonts w:cs="Times New Roman"/>
          <w:lang w:val="en-US"/>
        </w:rPr>
        <w:t xml:space="preserve"> </w:t>
      </w:r>
      <w:r w:rsidRPr="004E38DF">
        <w:rPr>
          <w:rFonts w:cs="Times New Roman"/>
        </w:rPr>
        <w:t>Αναπηρίες</w:t>
      </w:r>
      <w:r w:rsidRPr="004E38DF">
        <w:rPr>
          <w:rFonts w:cs="Times New Roman"/>
          <w:lang w:val="en-US"/>
        </w:rPr>
        <w:t xml:space="preserve"> </w:t>
      </w:r>
      <w:r w:rsidRPr="004E38DF">
        <w:rPr>
          <w:rFonts w:cs="Times New Roman"/>
        </w:rPr>
        <w:t>Νόμος</w:t>
      </w:r>
      <w:r w:rsidRPr="004E38DF">
        <w:rPr>
          <w:rFonts w:cs="Times New Roman"/>
          <w:lang w:val="en-US"/>
        </w:rPr>
        <w:t xml:space="preserve"> </w:t>
      </w:r>
      <w:r w:rsidRPr="004E38DF">
        <w:rPr>
          <w:rFonts w:cs="Times New Roman"/>
        </w:rPr>
        <w:t>του</w:t>
      </w:r>
      <w:r w:rsidRPr="004E38DF">
        <w:rPr>
          <w:rFonts w:cs="Times New Roman"/>
          <w:lang w:val="en-US"/>
        </w:rPr>
        <w:t xml:space="preserve"> 2000) last amended 102(I</w:t>
      </w:r>
      <w:proofErr w:type="gramStart"/>
      <w:r w:rsidRPr="004E38DF">
        <w:rPr>
          <w:rFonts w:cs="Times New Roman"/>
          <w:lang w:val="en-US"/>
        </w:rPr>
        <w:t>)2007</w:t>
      </w:r>
      <w:proofErr w:type="gramEnd"/>
      <w:r w:rsidRPr="004E38DF">
        <w:rPr>
          <w:rFonts w:cs="Times New Roman"/>
          <w:lang w:val="en-US"/>
        </w:rPr>
        <w:t xml:space="preserve">, Article 8(3). Available at: </w:t>
      </w:r>
      <w:hyperlink r:id="rId15" w:history="1">
        <w:r w:rsidRPr="004E38DF">
          <w:rPr>
            <w:rStyle w:val="Hyperlink"/>
            <w:rFonts w:cs="Times New Roman"/>
            <w:lang w:val="en-US"/>
          </w:rPr>
          <w:t>www.cylaw.org/nomoi/enop/non-ind/2000_1_127/full.html</w:t>
        </w:r>
      </w:hyperlink>
      <w:r w:rsidRPr="004E38DF">
        <w:rPr>
          <w:rFonts w:cs="Times New Roman"/>
          <w:lang w:val="en-US"/>
        </w:rPr>
        <w:t xml:space="preserve"> </w:t>
      </w:r>
    </w:p>
  </w:footnote>
  <w:footnote w:id="19">
    <w:p w14:paraId="12DB4BC5" w14:textId="77777777" w:rsidR="00382023" w:rsidRPr="004E38DF" w:rsidRDefault="00382023" w:rsidP="00E00696">
      <w:pPr>
        <w:pStyle w:val="FootnoteText"/>
        <w:jc w:val="both"/>
        <w:rPr>
          <w:lang w:val="en-US"/>
        </w:rPr>
      </w:pPr>
      <w:r w:rsidRPr="004E38DF">
        <w:rPr>
          <w:rStyle w:val="FootnoteReference"/>
        </w:rPr>
        <w:footnoteRef/>
      </w:r>
      <w:r w:rsidRPr="004E38DF">
        <w:rPr>
          <w:lang w:val="en-US"/>
        </w:rPr>
        <w:t xml:space="preserve"> Cyprus, </w:t>
      </w:r>
      <w:r w:rsidRPr="004E38DF">
        <w:rPr>
          <w:rFonts w:eastAsia="Calibri" w:cs="Times New Roman"/>
          <w:lang w:val="en-US"/>
        </w:rPr>
        <w:t>The Radio and Television Laws (1998), N.7 (I) / 1998, last amended with 46(Ι)/2013, (Ο π</w:t>
      </w:r>
      <w:proofErr w:type="spellStart"/>
      <w:r w:rsidRPr="004E38DF">
        <w:rPr>
          <w:rFonts w:eastAsia="Calibri" w:cs="Times New Roman"/>
          <w:lang w:val="en-US"/>
        </w:rPr>
        <w:t>ερί</w:t>
      </w:r>
      <w:proofErr w:type="spellEnd"/>
      <w:r w:rsidRPr="004E38DF">
        <w:rPr>
          <w:rFonts w:eastAsia="Calibri" w:cs="Times New Roman"/>
          <w:lang w:val="en-US"/>
        </w:rPr>
        <w:t xml:space="preserve"> Ρα</w:t>
      </w:r>
      <w:proofErr w:type="spellStart"/>
      <w:r w:rsidRPr="004E38DF">
        <w:rPr>
          <w:rFonts w:eastAsia="Calibri" w:cs="Times New Roman"/>
          <w:lang w:val="en-US"/>
        </w:rPr>
        <w:t>διοφωνικών</w:t>
      </w:r>
      <w:proofErr w:type="spellEnd"/>
      <w:r w:rsidRPr="004E38DF">
        <w:rPr>
          <w:rFonts w:eastAsia="Calibri" w:cs="Times New Roman"/>
          <w:lang w:val="en-US"/>
        </w:rPr>
        <w:t xml:space="preserve"> και </w:t>
      </w:r>
      <w:proofErr w:type="spellStart"/>
      <w:r w:rsidRPr="004E38DF">
        <w:rPr>
          <w:rFonts w:eastAsia="Calibri" w:cs="Times New Roman"/>
          <w:lang w:val="en-US"/>
        </w:rPr>
        <w:t>Τηλεο</w:t>
      </w:r>
      <w:proofErr w:type="spellEnd"/>
      <w:r w:rsidRPr="004E38DF">
        <w:rPr>
          <w:rFonts w:eastAsia="Calibri" w:cs="Times New Roman"/>
          <w:lang w:val="en-US"/>
        </w:rPr>
        <w:t xml:space="preserve">πτικών </w:t>
      </w:r>
      <w:proofErr w:type="spellStart"/>
      <w:r w:rsidRPr="004E38DF">
        <w:rPr>
          <w:rFonts w:eastAsia="Calibri" w:cs="Times New Roman"/>
          <w:lang w:val="en-US"/>
        </w:rPr>
        <w:t>Στ</w:t>
      </w:r>
      <w:proofErr w:type="spellEnd"/>
      <w:r w:rsidRPr="004E38DF">
        <w:rPr>
          <w:rFonts w:eastAsia="Calibri" w:cs="Times New Roman"/>
          <w:lang w:val="en-US"/>
        </w:rPr>
        <w:t xml:space="preserve">αθμών </w:t>
      </w:r>
      <w:proofErr w:type="spellStart"/>
      <w:r w:rsidRPr="004E38DF">
        <w:rPr>
          <w:rFonts w:eastAsia="Calibri" w:cs="Times New Roman"/>
          <w:lang w:val="en-US"/>
        </w:rPr>
        <w:t>Νόμο</w:t>
      </w:r>
      <w:proofErr w:type="spellEnd"/>
      <w:r w:rsidRPr="004E38DF">
        <w:rPr>
          <w:rFonts w:eastAsia="Calibri" w:cs="Times New Roman"/>
        </w:rPr>
        <w:t>ς</w:t>
      </w:r>
      <w:r w:rsidRPr="004E38DF">
        <w:rPr>
          <w:rFonts w:eastAsia="Calibri" w:cs="Times New Roman"/>
          <w:lang w:val="en-US"/>
        </w:rPr>
        <w:t xml:space="preserve">). </w:t>
      </w:r>
      <w:proofErr w:type="gramStart"/>
      <w:r w:rsidRPr="004E38DF">
        <w:rPr>
          <w:rFonts w:eastAsia="Calibri" w:cs="Times New Roman"/>
          <w:lang w:val="en-US"/>
        </w:rPr>
        <w:t>Article 30B.</w:t>
      </w:r>
      <w:proofErr w:type="gramEnd"/>
      <w:r w:rsidRPr="004E38DF">
        <w:rPr>
          <w:rFonts w:eastAsia="Calibri" w:cs="Times New Roman"/>
          <w:lang w:val="en-US"/>
        </w:rPr>
        <w:t xml:space="preserve"> Available at: www.cylaw.org/nomoi/enop/non-ind/1998_1_7/index.html</w:t>
      </w:r>
    </w:p>
  </w:footnote>
  <w:footnote w:id="20">
    <w:p w14:paraId="12DB4BC6" w14:textId="74B80456" w:rsidR="00382023" w:rsidRPr="00870EED" w:rsidRDefault="00382023" w:rsidP="00E00696">
      <w:pPr>
        <w:pStyle w:val="FootnoteText"/>
        <w:jc w:val="both"/>
        <w:rPr>
          <w:lang w:val="en-US"/>
        </w:rPr>
      </w:pPr>
      <w:r w:rsidRPr="00870EED">
        <w:rPr>
          <w:rStyle w:val="FootnoteReference"/>
        </w:rPr>
        <w:footnoteRef/>
      </w:r>
      <w:r w:rsidRPr="00870EED">
        <w:rPr>
          <w:lang w:val="en-US"/>
        </w:rPr>
        <w:t xml:space="preserve"> Information obtained from the Central Election Service (</w:t>
      </w:r>
      <w:r w:rsidRPr="00870EED">
        <w:t>Κεντρική</w:t>
      </w:r>
      <w:r w:rsidRPr="00870EED">
        <w:rPr>
          <w:lang w:val="en-US"/>
        </w:rPr>
        <w:t xml:space="preserve"> </w:t>
      </w:r>
      <w:r w:rsidRPr="00870EED">
        <w:t>Υπηρεσία</w:t>
      </w:r>
      <w:r w:rsidRPr="00870EED">
        <w:rPr>
          <w:lang w:val="en-US"/>
        </w:rPr>
        <w:t xml:space="preserve"> </w:t>
      </w:r>
      <w:r w:rsidRPr="00870EED">
        <w:t>Εκλογών</w:t>
      </w:r>
      <w:r w:rsidRPr="00870EED">
        <w:rPr>
          <w:lang w:val="en-US"/>
        </w:rPr>
        <w:t xml:space="preserve">). </w:t>
      </w:r>
    </w:p>
  </w:footnote>
  <w:footnote w:id="21">
    <w:p w14:paraId="25B5CAFD" w14:textId="77777777" w:rsidR="00382023" w:rsidRPr="00031134" w:rsidRDefault="00382023" w:rsidP="00141E9A">
      <w:pPr>
        <w:spacing w:after="0" w:line="240" w:lineRule="auto"/>
        <w:ind w:right="-284"/>
        <w:rPr>
          <w:rFonts w:cstheme="minorHAnsi"/>
          <w:sz w:val="20"/>
          <w:szCs w:val="20"/>
          <w:lang w:val="en-GB"/>
        </w:rPr>
      </w:pPr>
      <w:r w:rsidRPr="00031134">
        <w:rPr>
          <w:rStyle w:val="FootnoteReference"/>
          <w:rFonts w:cstheme="minorHAnsi"/>
          <w:sz w:val="20"/>
          <w:szCs w:val="20"/>
          <w:lang w:val="en-GB"/>
        </w:rPr>
        <w:footnoteRef/>
      </w:r>
      <w:r w:rsidRPr="00031134">
        <w:rPr>
          <w:rFonts w:cstheme="minorHAnsi"/>
          <w:sz w:val="20"/>
          <w:szCs w:val="20"/>
          <w:lang w:val="en-GB"/>
        </w:rPr>
        <w:t xml:space="preserve"> Republic of Cyprus (2013</w:t>
      </w:r>
      <w:r w:rsidRPr="00031134">
        <w:rPr>
          <w:rFonts w:cstheme="minorHAnsi"/>
          <w:b/>
          <w:sz w:val="20"/>
          <w:szCs w:val="20"/>
          <w:lang w:val="en-GB"/>
        </w:rPr>
        <w:t xml:space="preserve">) </w:t>
      </w:r>
      <w:proofErr w:type="gramStart"/>
      <w:r w:rsidRPr="00031134">
        <w:rPr>
          <w:rStyle w:val="HTMLCite"/>
          <w:rFonts w:cstheme="minorHAnsi"/>
          <w:color w:val="222222"/>
          <w:sz w:val="20"/>
          <w:szCs w:val="20"/>
          <w:lang w:val="en-GB"/>
        </w:rPr>
        <w:t>The</w:t>
      </w:r>
      <w:proofErr w:type="gramEnd"/>
      <w:r w:rsidRPr="00031134">
        <w:rPr>
          <w:rStyle w:val="HTMLCite"/>
          <w:rFonts w:cstheme="minorHAnsi"/>
          <w:color w:val="222222"/>
          <w:sz w:val="20"/>
          <w:szCs w:val="20"/>
          <w:lang w:val="en-GB"/>
        </w:rPr>
        <w:t xml:space="preserve"> National Disability Strategy (2013-2015). Available at: </w:t>
      </w:r>
      <w:hyperlink r:id="rId16" w:history="1">
        <w:r w:rsidRPr="00031134">
          <w:rPr>
            <w:rStyle w:val="Hyperlink"/>
            <w:rFonts w:cstheme="minorHAnsi"/>
            <w:lang w:val="en-GB"/>
          </w:rPr>
          <w:t>http://www.mlsi.gov.cy/mlsi/dsid/dsid.nsf/All/0870C5B651FDF14EC2257BB7003F3B32?OpenDocument</w:t>
        </w:r>
      </w:hyperlink>
    </w:p>
  </w:footnote>
  <w:footnote w:id="22">
    <w:p w14:paraId="4A390BD3" w14:textId="77777777" w:rsidR="00382023" w:rsidRPr="00031134" w:rsidRDefault="00382023" w:rsidP="00141E9A">
      <w:pPr>
        <w:pStyle w:val="FootnoteText"/>
        <w:rPr>
          <w:rFonts w:cstheme="minorHAnsi"/>
          <w:lang w:val="en-GB"/>
        </w:rPr>
      </w:pPr>
      <w:r w:rsidRPr="00031134">
        <w:rPr>
          <w:rStyle w:val="FootnoteReference"/>
          <w:rFonts w:cstheme="minorHAnsi"/>
          <w:lang w:val="en-GB"/>
        </w:rPr>
        <w:footnoteRef/>
      </w:r>
      <w:r w:rsidRPr="00031134">
        <w:rPr>
          <w:rFonts w:cstheme="minorHAnsi"/>
          <w:lang w:val="en-GB"/>
        </w:rPr>
        <w:t xml:space="preserve"> </w:t>
      </w:r>
      <w:proofErr w:type="gramStart"/>
      <w:r w:rsidRPr="00031134">
        <w:rPr>
          <w:rFonts w:cstheme="minorHAnsi"/>
          <w:lang w:val="en-GB"/>
        </w:rPr>
        <w:t>At page 4.</w:t>
      </w:r>
      <w:proofErr w:type="gramEnd"/>
    </w:p>
  </w:footnote>
  <w:footnote w:id="23">
    <w:p w14:paraId="12DB4BC8" w14:textId="77777777" w:rsidR="00382023" w:rsidRPr="00870EED" w:rsidRDefault="00382023" w:rsidP="00E00696">
      <w:pPr>
        <w:pStyle w:val="FootnoteText"/>
        <w:jc w:val="both"/>
        <w:rPr>
          <w:rFonts w:cs="Times New Roman"/>
          <w:lang w:val="en-US"/>
        </w:rPr>
      </w:pPr>
      <w:r w:rsidRPr="00870EED">
        <w:rPr>
          <w:rStyle w:val="FootnoteReference"/>
          <w:rFonts w:cs="Times New Roman"/>
        </w:rPr>
        <w:footnoteRef/>
      </w:r>
      <w:r w:rsidRPr="00870EED">
        <w:rPr>
          <w:rFonts w:cs="Times New Roman"/>
          <w:lang w:val="en-US"/>
        </w:rPr>
        <w:t xml:space="preserve"> Cyprus, Office for Democratic Institutions and Human Rights, (2011), “Republic of Cyprus. </w:t>
      </w:r>
      <w:proofErr w:type="gramStart"/>
      <w:r w:rsidRPr="00870EED">
        <w:rPr>
          <w:rFonts w:cs="Times New Roman"/>
          <w:lang w:val="en-US"/>
        </w:rPr>
        <w:t>Parliamentary elections 22 May 2011.</w:t>
      </w:r>
      <w:proofErr w:type="gramEnd"/>
      <w:r w:rsidRPr="00870EED">
        <w:rPr>
          <w:rFonts w:cs="Times New Roman"/>
          <w:lang w:val="en-US"/>
        </w:rPr>
        <w:t xml:space="preserve"> </w:t>
      </w:r>
      <w:proofErr w:type="gramStart"/>
      <w:r w:rsidRPr="00870EED">
        <w:rPr>
          <w:rFonts w:cs="Times New Roman"/>
          <w:lang w:val="en-US"/>
        </w:rPr>
        <w:t>OSCE/ODIHR Election Assessment Mission Final Report”, Warsaw.</w:t>
      </w:r>
      <w:proofErr w:type="gramEnd"/>
      <w:r w:rsidRPr="00870EED">
        <w:rPr>
          <w:rFonts w:cs="Times New Roman"/>
          <w:lang w:val="en-US"/>
        </w:rPr>
        <w:t xml:space="preserve"> Available at: </w:t>
      </w:r>
      <w:hyperlink r:id="rId17" w:history="1">
        <w:r w:rsidRPr="00870EED">
          <w:rPr>
            <w:rStyle w:val="Hyperlink"/>
            <w:rFonts w:cs="Times New Roman"/>
            <w:color w:val="auto"/>
            <w:lang w:val="en-US"/>
          </w:rPr>
          <w:t>www.osce.org/odihr/elections/82242</w:t>
        </w:r>
      </w:hyperlink>
      <w:r w:rsidRPr="00870EED">
        <w:rPr>
          <w:rFonts w:cs="Times New Roman"/>
          <w:lang w:val="en-US"/>
        </w:rPr>
        <w:t xml:space="preserve"> </w:t>
      </w:r>
    </w:p>
  </w:footnote>
  <w:footnote w:id="24">
    <w:p w14:paraId="1B29357F" w14:textId="77777777" w:rsidR="00382023" w:rsidRPr="004E38DF" w:rsidRDefault="00382023" w:rsidP="00903048">
      <w:pPr>
        <w:pStyle w:val="FootnoteText"/>
        <w:jc w:val="both"/>
        <w:rPr>
          <w:lang w:val="en-US"/>
        </w:rPr>
      </w:pPr>
      <w:r w:rsidRPr="00870EED">
        <w:rPr>
          <w:rStyle w:val="FootnoteReference"/>
        </w:rPr>
        <w:footnoteRef/>
      </w:r>
      <w:r w:rsidRPr="00870EED">
        <w:rPr>
          <w:lang w:val="en-US"/>
        </w:rPr>
        <w:t xml:space="preserve"> Information obtained from the Central Election Service (</w:t>
      </w:r>
      <w:r w:rsidRPr="00870EED">
        <w:t>Κεντρική</w:t>
      </w:r>
      <w:r w:rsidRPr="00870EED">
        <w:rPr>
          <w:lang w:val="en-US"/>
        </w:rPr>
        <w:t xml:space="preserve"> </w:t>
      </w:r>
      <w:r w:rsidRPr="00870EED">
        <w:t>Υπηρεσία</w:t>
      </w:r>
      <w:r w:rsidRPr="00870EED">
        <w:rPr>
          <w:lang w:val="en-US"/>
        </w:rPr>
        <w:t xml:space="preserve"> </w:t>
      </w:r>
      <w:r w:rsidRPr="00870EED">
        <w:t>Εκλογών</w:t>
      </w:r>
      <w:r w:rsidRPr="00870EED">
        <w:rPr>
          <w:lang w:val="en-US"/>
        </w:rPr>
        <w:t xml:space="preserve">). </w:t>
      </w:r>
    </w:p>
  </w:footnote>
  <w:footnote w:id="25">
    <w:p w14:paraId="1DEFB609" w14:textId="77777777" w:rsidR="00382023" w:rsidRPr="004E38DF" w:rsidRDefault="00382023" w:rsidP="00E00696">
      <w:pPr>
        <w:pStyle w:val="FootnoteText"/>
        <w:jc w:val="both"/>
        <w:rPr>
          <w:lang w:val="en-US"/>
        </w:rPr>
      </w:pPr>
      <w:r w:rsidRPr="004E38DF">
        <w:rPr>
          <w:rStyle w:val="FootnoteReference"/>
        </w:rPr>
        <w:footnoteRef/>
      </w:r>
      <w:r w:rsidRPr="004E38DF">
        <w:rPr>
          <w:lang w:val="en-US"/>
        </w:rPr>
        <w:t xml:space="preserve"> </w:t>
      </w:r>
      <w:r w:rsidRPr="004E38DF">
        <w:rPr>
          <w:rFonts w:cs="Times New Roman"/>
          <w:lang w:val="en-US"/>
        </w:rPr>
        <w:t xml:space="preserve">Cyprus, </w:t>
      </w:r>
      <w:proofErr w:type="spellStart"/>
      <w:r w:rsidRPr="004E38DF">
        <w:t>The</w:t>
      </w:r>
      <w:proofErr w:type="spellEnd"/>
      <w:r w:rsidRPr="004E38DF">
        <w:t xml:space="preserve"> </w:t>
      </w:r>
      <w:proofErr w:type="spellStart"/>
      <w:r w:rsidRPr="004E38DF">
        <w:t>Consultation</w:t>
      </w:r>
      <w:proofErr w:type="spellEnd"/>
      <w:r w:rsidRPr="004E38DF">
        <w:t xml:space="preserve"> </w:t>
      </w:r>
      <w:proofErr w:type="spellStart"/>
      <w:r w:rsidRPr="004E38DF">
        <w:t>process</w:t>
      </w:r>
      <w:proofErr w:type="spellEnd"/>
      <w:r w:rsidRPr="004E38DF">
        <w:t xml:space="preserve"> </w:t>
      </w:r>
      <w:proofErr w:type="spellStart"/>
      <w:r w:rsidRPr="004E38DF">
        <w:t>between</w:t>
      </w:r>
      <w:proofErr w:type="spellEnd"/>
      <w:r w:rsidRPr="004E38DF">
        <w:t xml:space="preserve"> </w:t>
      </w:r>
      <w:proofErr w:type="spellStart"/>
      <w:r w:rsidRPr="004E38DF">
        <w:t>the</w:t>
      </w:r>
      <w:proofErr w:type="spellEnd"/>
      <w:r w:rsidRPr="004E38DF">
        <w:t xml:space="preserve"> </w:t>
      </w:r>
      <w:proofErr w:type="spellStart"/>
      <w:r w:rsidRPr="004E38DF">
        <w:t>Government</w:t>
      </w:r>
      <w:proofErr w:type="spellEnd"/>
      <w:r w:rsidRPr="004E38DF">
        <w:t xml:space="preserve"> </w:t>
      </w:r>
      <w:proofErr w:type="spellStart"/>
      <w:r w:rsidRPr="004E38DF">
        <w:t>and</w:t>
      </w:r>
      <w:proofErr w:type="spellEnd"/>
      <w:r w:rsidRPr="004E38DF">
        <w:t xml:space="preserve"> </w:t>
      </w:r>
      <w:proofErr w:type="spellStart"/>
      <w:r w:rsidRPr="004E38DF">
        <w:t>other</w:t>
      </w:r>
      <w:proofErr w:type="spellEnd"/>
      <w:r w:rsidRPr="004E38DF">
        <w:t xml:space="preserve"> </w:t>
      </w:r>
      <w:proofErr w:type="spellStart"/>
      <w:r w:rsidRPr="004E38DF">
        <w:t>Services</w:t>
      </w:r>
      <w:proofErr w:type="spellEnd"/>
      <w:r w:rsidRPr="004E38DF">
        <w:t xml:space="preserve"> for </w:t>
      </w:r>
      <w:proofErr w:type="spellStart"/>
      <w:r w:rsidRPr="004E38DF">
        <w:t>issues</w:t>
      </w:r>
      <w:proofErr w:type="spellEnd"/>
      <w:r w:rsidRPr="004E38DF">
        <w:t xml:space="preserve"> </w:t>
      </w:r>
      <w:proofErr w:type="spellStart"/>
      <w:r w:rsidRPr="004E38DF">
        <w:t>concerning</w:t>
      </w:r>
      <w:proofErr w:type="spellEnd"/>
      <w:r w:rsidRPr="004E38DF">
        <w:t xml:space="preserve"> </w:t>
      </w:r>
      <w:proofErr w:type="spellStart"/>
      <w:r w:rsidRPr="004E38DF">
        <w:t>Persons</w:t>
      </w:r>
      <w:proofErr w:type="spellEnd"/>
      <w:r w:rsidRPr="004E38DF">
        <w:t xml:space="preserve"> </w:t>
      </w:r>
      <w:proofErr w:type="spellStart"/>
      <w:r w:rsidRPr="004E38DF">
        <w:t>with</w:t>
      </w:r>
      <w:proofErr w:type="spellEnd"/>
      <w:r w:rsidRPr="004E38DF">
        <w:t xml:space="preserve"> </w:t>
      </w:r>
      <w:proofErr w:type="spellStart"/>
      <w:r w:rsidRPr="004E38DF">
        <w:t>Disabilities</w:t>
      </w:r>
      <w:proofErr w:type="spellEnd"/>
      <w:r w:rsidRPr="004E38DF">
        <w:t xml:space="preserve"> </w:t>
      </w:r>
      <w:proofErr w:type="spellStart"/>
      <w:r w:rsidRPr="004E38DF">
        <w:t>Law</w:t>
      </w:r>
      <w:proofErr w:type="spellEnd"/>
      <w:r w:rsidRPr="004E38DF">
        <w:t xml:space="preserve"> </w:t>
      </w:r>
      <w:proofErr w:type="spellStart"/>
      <w:r w:rsidRPr="004E38DF">
        <w:t>of</w:t>
      </w:r>
      <w:proofErr w:type="spellEnd"/>
      <w:r w:rsidRPr="004E38DF">
        <w:t xml:space="preserve"> 2006 (L.143 (I) / 2006</w:t>
      </w:r>
      <w:proofErr w:type="gramStart"/>
      <w:r w:rsidRPr="004E38DF">
        <w:t>)</w:t>
      </w:r>
      <w:r w:rsidRPr="004E38DF">
        <w:rPr>
          <w:rFonts w:cs="Times New Roman"/>
          <w:lang w:val="en-US"/>
        </w:rPr>
        <w:t>(</w:t>
      </w:r>
      <w:proofErr w:type="gramEnd"/>
      <w:r w:rsidRPr="004E38DF">
        <w:rPr>
          <w:rFonts w:cs="Times New Roman"/>
        </w:rPr>
        <w:t>Ο</w:t>
      </w:r>
      <w:r w:rsidRPr="004E38DF">
        <w:rPr>
          <w:rFonts w:cs="Times New Roman"/>
          <w:lang w:val="en-US"/>
        </w:rPr>
        <w:t xml:space="preserve"> </w:t>
      </w:r>
      <w:r w:rsidRPr="004E38DF">
        <w:rPr>
          <w:rFonts w:cs="Times New Roman"/>
        </w:rPr>
        <w:t>περί</w:t>
      </w:r>
      <w:r w:rsidRPr="004E38DF">
        <w:rPr>
          <w:rFonts w:cs="Times New Roman"/>
          <w:lang w:val="en-US"/>
        </w:rPr>
        <w:t xml:space="preserve"> </w:t>
      </w:r>
      <w:r w:rsidRPr="004E38DF">
        <w:rPr>
          <w:rFonts w:cs="Times New Roman"/>
        </w:rPr>
        <w:t>της</w:t>
      </w:r>
      <w:r w:rsidRPr="004E38DF">
        <w:rPr>
          <w:rFonts w:cs="Times New Roman"/>
          <w:lang w:val="en-US"/>
        </w:rPr>
        <w:t xml:space="preserve"> </w:t>
      </w:r>
      <w:r w:rsidRPr="004E38DF">
        <w:rPr>
          <w:rFonts w:cs="Times New Roman"/>
        </w:rPr>
        <w:t>Διαδικασίας</w:t>
      </w:r>
      <w:r w:rsidRPr="004E38DF">
        <w:rPr>
          <w:rFonts w:cs="Times New Roman"/>
          <w:lang w:val="en-US"/>
        </w:rPr>
        <w:t xml:space="preserve"> </w:t>
      </w:r>
      <w:r w:rsidRPr="004E38DF">
        <w:rPr>
          <w:rFonts w:cs="Times New Roman"/>
        </w:rPr>
        <w:t>Διαβούλευσης</w:t>
      </w:r>
      <w:r w:rsidRPr="004E38DF">
        <w:rPr>
          <w:rFonts w:cs="Times New Roman"/>
          <w:lang w:val="en-US"/>
        </w:rPr>
        <w:t xml:space="preserve"> </w:t>
      </w:r>
      <w:r w:rsidRPr="004E38DF">
        <w:rPr>
          <w:rFonts w:cs="Times New Roman"/>
        </w:rPr>
        <w:t>Κρατικών</w:t>
      </w:r>
      <w:r w:rsidRPr="004E38DF">
        <w:rPr>
          <w:rFonts w:cs="Times New Roman"/>
          <w:lang w:val="en-US"/>
        </w:rPr>
        <w:t xml:space="preserve"> </w:t>
      </w:r>
      <w:r w:rsidRPr="004E38DF">
        <w:rPr>
          <w:rFonts w:cs="Times New Roman"/>
        </w:rPr>
        <w:t>και</w:t>
      </w:r>
      <w:r w:rsidRPr="004E38DF">
        <w:rPr>
          <w:rFonts w:cs="Times New Roman"/>
          <w:lang w:val="en-US"/>
        </w:rPr>
        <w:t xml:space="preserve"> </w:t>
      </w:r>
      <w:r w:rsidRPr="004E38DF">
        <w:rPr>
          <w:rFonts w:cs="Times New Roman"/>
        </w:rPr>
        <w:t>Άλλων</w:t>
      </w:r>
      <w:r w:rsidRPr="004E38DF">
        <w:rPr>
          <w:rFonts w:cs="Times New Roman"/>
          <w:lang w:val="en-US"/>
        </w:rPr>
        <w:t xml:space="preserve"> </w:t>
      </w:r>
      <w:proofErr w:type="spellStart"/>
      <w:r w:rsidRPr="004E38DF">
        <w:rPr>
          <w:rFonts w:cs="Times New Roman"/>
        </w:rPr>
        <w:t>Υπηρεσίων</w:t>
      </w:r>
      <w:proofErr w:type="spellEnd"/>
      <w:r w:rsidRPr="004E38DF">
        <w:rPr>
          <w:rFonts w:cs="Times New Roman"/>
          <w:lang w:val="en-US"/>
        </w:rPr>
        <w:t xml:space="preserve"> </w:t>
      </w:r>
      <w:r w:rsidRPr="004E38DF">
        <w:rPr>
          <w:rFonts w:cs="Times New Roman"/>
        </w:rPr>
        <w:t>σε</w:t>
      </w:r>
      <w:r w:rsidRPr="004E38DF">
        <w:rPr>
          <w:rFonts w:cs="Times New Roman"/>
          <w:lang w:val="en-US"/>
        </w:rPr>
        <w:t xml:space="preserve">  </w:t>
      </w:r>
      <w:proofErr w:type="spellStart"/>
      <w:r w:rsidRPr="004E38DF">
        <w:rPr>
          <w:rFonts w:cs="Times New Roman"/>
          <w:lang w:val="en-US"/>
        </w:rPr>
        <w:t>Θέμ</w:t>
      </w:r>
      <w:proofErr w:type="spellEnd"/>
      <w:r w:rsidRPr="004E38DF">
        <w:rPr>
          <w:rFonts w:cs="Times New Roman"/>
          <w:lang w:val="en-US"/>
        </w:rPr>
        <w:t>ατα π</w:t>
      </w:r>
      <w:proofErr w:type="spellStart"/>
      <w:r w:rsidRPr="004E38DF">
        <w:rPr>
          <w:rFonts w:cs="Times New Roman"/>
          <w:lang w:val="en-US"/>
        </w:rPr>
        <w:t>ου</w:t>
      </w:r>
      <w:proofErr w:type="spellEnd"/>
      <w:r w:rsidRPr="004E38DF">
        <w:rPr>
          <w:rFonts w:cs="Times New Roman"/>
          <w:lang w:val="en-US"/>
        </w:rPr>
        <w:t xml:space="preserve"> </w:t>
      </w:r>
      <w:proofErr w:type="spellStart"/>
      <w:r w:rsidRPr="004E38DF">
        <w:rPr>
          <w:rFonts w:cs="Times New Roman"/>
          <w:lang w:val="en-US"/>
        </w:rPr>
        <w:t>Άφορούν</w:t>
      </w:r>
      <w:proofErr w:type="spellEnd"/>
      <w:r w:rsidRPr="004E38DF">
        <w:rPr>
          <w:rFonts w:cs="Times New Roman"/>
          <w:lang w:val="en-US"/>
        </w:rPr>
        <w:t xml:space="preserve"> </w:t>
      </w:r>
      <w:proofErr w:type="spellStart"/>
      <w:r w:rsidRPr="004E38DF">
        <w:rPr>
          <w:rFonts w:cs="Times New Roman"/>
          <w:lang w:val="en-US"/>
        </w:rPr>
        <w:t>Άτομ</w:t>
      </w:r>
      <w:proofErr w:type="spellEnd"/>
      <w:r w:rsidRPr="004E38DF">
        <w:rPr>
          <w:rFonts w:cs="Times New Roman"/>
          <w:lang w:val="en-US"/>
        </w:rPr>
        <w:t xml:space="preserve">α </w:t>
      </w:r>
      <w:proofErr w:type="spellStart"/>
      <w:r w:rsidRPr="004E38DF">
        <w:rPr>
          <w:rFonts w:cs="Times New Roman"/>
          <w:lang w:val="en-US"/>
        </w:rPr>
        <w:t>με</w:t>
      </w:r>
      <w:proofErr w:type="spellEnd"/>
      <w:r w:rsidRPr="004E38DF">
        <w:rPr>
          <w:rFonts w:cs="Times New Roman"/>
          <w:lang w:val="en-US"/>
        </w:rPr>
        <w:t xml:space="preserve"> </w:t>
      </w:r>
      <w:proofErr w:type="spellStart"/>
      <w:r w:rsidRPr="004E38DF">
        <w:rPr>
          <w:rFonts w:cs="Times New Roman"/>
          <w:lang w:val="en-US"/>
        </w:rPr>
        <w:t>Αν</w:t>
      </w:r>
      <w:proofErr w:type="spellEnd"/>
      <w:r w:rsidRPr="004E38DF">
        <w:rPr>
          <w:rFonts w:cs="Times New Roman"/>
          <w:lang w:val="en-US"/>
        </w:rPr>
        <w:t xml:space="preserve">απηρία </w:t>
      </w:r>
      <w:proofErr w:type="spellStart"/>
      <w:r w:rsidRPr="004E38DF">
        <w:rPr>
          <w:rFonts w:cs="Times New Roman"/>
          <w:lang w:val="en-US"/>
        </w:rPr>
        <w:t>Νόμος</w:t>
      </w:r>
      <w:proofErr w:type="spellEnd"/>
      <w:r w:rsidRPr="004E38DF">
        <w:rPr>
          <w:rFonts w:cs="Times New Roman"/>
          <w:lang w:val="en-US"/>
        </w:rPr>
        <w:t xml:space="preserve"> </w:t>
      </w:r>
      <w:proofErr w:type="spellStart"/>
      <w:r w:rsidRPr="004E38DF">
        <w:rPr>
          <w:rFonts w:cs="Times New Roman"/>
          <w:lang w:val="en-US"/>
        </w:rPr>
        <w:t>του</w:t>
      </w:r>
      <w:proofErr w:type="spellEnd"/>
      <w:r w:rsidRPr="004E38DF">
        <w:rPr>
          <w:rFonts w:cs="Times New Roman"/>
          <w:lang w:val="en-US"/>
        </w:rPr>
        <w:t xml:space="preserve"> 2006 (Ν.143(Ι)/2006)). Available at: </w:t>
      </w:r>
      <w:r w:rsidRPr="004E38DF">
        <w:rPr>
          <w:rStyle w:val="Hyperlink"/>
          <w:rFonts w:cs="Times New Roman"/>
          <w:lang w:val="en-US"/>
        </w:rPr>
        <w:t xml:space="preserve"> </w:t>
      </w:r>
      <w:r w:rsidRPr="004E38DF">
        <w:t xml:space="preserve"> </w:t>
      </w:r>
      <w:r w:rsidRPr="004E38DF">
        <w:rPr>
          <w:rStyle w:val="Hyperlink"/>
          <w:rFonts w:cs="Times New Roman"/>
          <w:lang w:val="en-US"/>
        </w:rPr>
        <w:t>http://www.kysoa.org.cy/kysoa/page.php?pageID=17&amp;langID=13</w:t>
      </w:r>
    </w:p>
  </w:footnote>
  <w:footnote w:id="26">
    <w:p w14:paraId="4A29ACDA" w14:textId="64ED37F8" w:rsidR="00382023" w:rsidRPr="004E38DF" w:rsidRDefault="00382023" w:rsidP="00E00696">
      <w:pPr>
        <w:pStyle w:val="FootnoteText"/>
        <w:jc w:val="both"/>
        <w:rPr>
          <w:lang w:val="en-US"/>
        </w:rPr>
      </w:pPr>
      <w:r w:rsidRPr="004E38DF">
        <w:rPr>
          <w:rStyle w:val="FootnoteReference"/>
        </w:rPr>
        <w:footnoteRef/>
      </w:r>
      <w:r w:rsidRPr="004E38DF">
        <w:rPr>
          <w:lang w:val="en-US"/>
        </w:rPr>
        <w:t xml:space="preserve"> Cyprus, Information obtained from the website of the </w:t>
      </w:r>
      <w:r w:rsidRPr="004E38DF">
        <w:rPr>
          <w:rFonts w:eastAsia="Calibri" w:cs="Times New Roman"/>
          <w:lang w:val="en-US"/>
        </w:rPr>
        <w:t>Cyprus Confederation of Organizations of the Disabled (</w:t>
      </w:r>
      <w:r w:rsidRPr="004E38DF">
        <w:rPr>
          <w:rFonts w:eastAsia="Calibri" w:cs="Times New Roman"/>
        </w:rPr>
        <w:t>Κυπριακή</w:t>
      </w:r>
      <w:r w:rsidRPr="004E38DF">
        <w:rPr>
          <w:rFonts w:eastAsia="Calibri" w:cs="Times New Roman"/>
          <w:lang w:val="en-US"/>
        </w:rPr>
        <w:t xml:space="preserve"> </w:t>
      </w:r>
      <w:r w:rsidRPr="004E38DF">
        <w:rPr>
          <w:rFonts w:eastAsia="Calibri" w:cs="Times New Roman"/>
        </w:rPr>
        <w:t>Συνομοσπονδία</w:t>
      </w:r>
      <w:r w:rsidRPr="004E38DF">
        <w:rPr>
          <w:rFonts w:eastAsia="Calibri" w:cs="Times New Roman"/>
          <w:lang w:val="en-US"/>
        </w:rPr>
        <w:t xml:space="preserve"> </w:t>
      </w:r>
      <w:r w:rsidRPr="004E38DF">
        <w:rPr>
          <w:rFonts w:eastAsia="Calibri" w:cs="Times New Roman"/>
        </w:rPr>
        <w:t>Οργανώσεων</w:t>
      </w:r>
      <w:r w:rsidRPr="004E38DF">
        <w:rPr>
          <w:rFonts w:eastAsia="Calibri" w:cs="Times New Roman"/>
          <w:lang w:val="en-US"/>
        </w:rPr>
        <w:t xml:space="preserve"> </w:t>
      </w:r>
      <w:r w:rsidRPr="004E38DF">
        <w:rPr>
          <w:rFonts w:eastAsia="Calibri" w:cs="Times New Roman"/>
        </w:rPr>
        <w:t>Αναπήρων</w:t>
      </w:r>
      <w:r w:rsidRPr="004E38DF">
        <w:rPr>
          <w:rFonts w:eastAsia="Calibri" w:cs="Times New Roman"/>
          <w:lang w:val="en-US"/>
        </w:rPr>
        <w:t>), last visited on 16/09/13, www.kysoa.org.cy/kysoa/page.php?pageID=20&amp;mpath=/22</w:t>
      </w:r>
      <w:r>
        <w:rPr>
          <w:rFonts w:eastAsia="Calibri" w:cs="Times New Roman"/>
          <w:lang w:val="en-US"/>
        </w:rPr>
        <w:t>.</w:t>
      </w:r>
    </w:p>
  </w:footnote>
  <w:footnote w:id="27">
    <w:p w14:paraId="3BD8FA97" w14:textId="7B89085F" w:rsidR="00382023" w:rsidRPr="004E38DF" w:rsidRDefault="00382023" w:rsidP="00E00696">
      <w:pPr>
        <w:pStyle w:val="FootnoteText"/>
        <w:jc w:val="both"/>
        <w:rPr>
          <w:lang w:val="en-US"/>
        </w:rPr>
      </w:pPr>
      <w:r w:rsidRPr="004E38DF">
        <w:rPr>
          <w:rStyle w:val="FootnoteReference"/>
        </w:rPr>
        <w:footnoteRef/>
      </w:r>
      <w:proofErr w:type="gramStart"/>
      <w:r w:rsidRPr="004E38DF">
        <w:rPr>
          <w:lang w:val="en-US"/>
        </w:rPr>
        <w:t>Cyprus, Council of Ministers decision on 9</w:t>
      </w:r>
      <w:r w:rsidRPr="004E38DF">
        <w:rPr>
          <w:vertAlign w:val="superscript"/>
          <w:lang w:val="en-US"/>
        </w:rPr>
        <w:t>th</w:t>
      </w:r>
      <w:r w:rsidRPr="004E38DF">
        <w:rPr>
          <w:lang w:val="en-US"/>
        </w:rPr>
        <w:t xml:space="preserve"> May 2012 (</w:t>
      </w:r>
      <w:r w:rsidRPr="004E38DF">
        <w:t>Απόφαση</w:t>
      </w:r>
      <w:r w:rsidRPr="004E38DF">
        <w:rPr>
          <w:lang w:val="en-US"/>
        </w:rPr>
        <w:t xml:space="preserve"> </w:t>
      </w:r>
      <w:r w:rsidRPr="004E38DF">
        <w:t>Υπουργικού</w:t>
      </w:r>
      <w:r w:rsidRPr="004E38DF">
        <w:rPr>
          <w:lang w:val="en-US"/>
        </w:rPr>
        <w:t xml:space="preserve"> </w:t>
      </w:r>
      <w:r w:rsidRPr="004E38DF">
        <w:t>Συμβουλίου</w:t>
      </w:r>
      <w:r w:rsidRPr="004E38DF">
        <w:rPr>
          <w:lang w:val="en-US"/>
        </w:rPr>
        <w:t>).</w:t>
      </w:r>
      <w:proofErr w:type="gramEnd"/>
      <w:r w:rsidRPr="004E38DF">
        <w:rPr>
          <w:lang w:val="en-US"/>
        </w:rPr>
        <w:t xml:space="preserve"> Available at: </w:t>
      </w:r>
      <w:hyperlink r:id="rId18" w:history="1">
        <w:r w:rsidRPr="004E38DF">
          <w:rPr>
            <w:rStyle w:val="Hyperlink"/>
            <w:lang w:val="en-US"/>
          </w:rPr>
          <w:t>www.mlsi.gov.cy/mlsi/dsid/dsid.nsf/dsipd08_gr/dsipd08_gr?OpenDocument&amp;print</w:t>
        </w:r>
      </w:hyperlink>
      <w:r w:rsidRPr="004E38DF">
        <w:rPr>
          <w:lang w:val="en-US"/>
        </w:rPr>
        <w:t xml:space="preserve"> </w:t>
      </w:r>
    </w:p>
  </w:footnote>
  <w:footnote w:id="28">
    <w:p w14:paraId="0E125311" w14:textId="730FF465" w:rsidR="00382023" w:rsidRPr="004E38DF" w:rsidRDefault="00382023" w:rsidP="00E00696">
      <w:pPr>
        <w:pStyle w:val="FootnoteText"/>
        <w:jc w:val="both"/>
        <w:rPr>
          <w:lang w:val="en-US"/>
        </w:rPr>
      </w:pPr>
      <w:r w:rsidRPr="004E38DF">
        <w:rPr>
          <w:rStyle w:val="FootnoteReference"/>
        </w:rPr>
        <w:footnoteRef/>
      </w:r>
      <w:r w:rsidRPr="004E38DF">
        <w:rPr>
          <w:lang w:val="en-US"/>
        </w:rPr>
        <w:t xml:space="preserve"> </w:t>
      </w:r>
      <w:r w:rsidRPr="004E38DF">
        <w:rPr>
          <w:rFonts w:cs="Times New Roman"/>
          <w:lang w:val="en-US"/>
        </w:rPr>
        <w:t>Cyprus, Department for Social Inclusion of Persons with Disabilities, (</w:t>
      </w:r>
      <w:r w:rsidRPr="004E38DF">
        <w:rPr>
          <w:rFonts w:cs="Times New Roman"/>
        </w:rPr>
        <w:t>Τμήμα</w:t>
      </w:r>
      <w:r w:rsidRPr="004E38DF">
        <w:rPr>
          <w:rFonts w:cs="Times New Roman"/>
          <w:lang w:val="en-US"/>
        </w:rPr>
        <w:t xml:space="preserve"> </w:t>
      </w:r>
      <w:r w:rsidRPr="004E38DF">
        <w:rPr>
          <w:rFonts w:cs="Times New Roman"/>
        </w:rPr>
        <w:t>Κοινωνικής</w:t>
      </w:r>
      <w:r w:rsidRPr="004E38DF">
        <w:rPr>
          <w:rFonts w:cs="Times New Roman"/>
          <w:lang w:val="en-US"/>
        </w:rPr>
        <w:t xml:space="preserve"> </w:t>
      </w:r>
      <w:r w:rsidRPr="004E38DF">
        <w:rPr>
          <w:rFonts w:cs="Times New Roman"/>
        </w:rPr>
        <w:t>Ενσωμάτωσης</w:t>
      </w:r>
      <w:r w:rsidRPr="004E38DF">
        <w:rPr>
          <w:rFonts w:cs="Times New Roman"/>
          <w:lang w:val="en-US"/>
        </w:rPr>
        <w:t xml:space="preserve"> </w:t>
      </w:r>
      <w:r w:rsidRPr="004E38DF">
        <w:rPr>
          <w:rFonts w:cs="Times New Roman"/>
        </w:rPr>
        <w:t>Ατόμων</w:t>
      </w:r>
      <w:r w:rsidRPr="004E38DF">
        <w:rPr>
          <w:rFonts w:cs="Times New Roman"/>
          <w:lang w:val="en-US"/>
        </w:rPr>
        <w:t xml:space="preserve"> </w:t>
      </w:r>
      <w:r w:rsidRPr="004E38DF">
        <w:rPr>
          <w:rFonts w:cs="Times New Roman"/>
        </w:rPr>
        <w:t>με</w:t>
      </w:r>
      <w:r w:rsidRPr="004E38DF">
        <w:rPr>
          <w:rFonts w:cs="Times New Roman"/>
          <w:lang w:val="en-US"/>
        </w:rPr>
        <w:t xml:space="preserve"> </w:t>
      </w:r>
      <w:r w:rsidRPr="004E38DF">
        <w:rPr>
          <w:rFonts w:cs="Times New Roman"/>
        </w:rPr>
        <w:t>Αναπηρία</w:t>
      </w:r>
      <w:r>
        <w:rPr>
          <w:rFonts w:cs="Times New Roman"/>
          <w:lang w:val="en-US"/>
        </w:rPr>
        <w:t>).</w:t>
      </w:r>
    </w:p>
  </w:footnote>
  <w:footnote w:id="29">
    <w:p w14:paraId="70096F57" w14:textId="77777777" w:rsidR="00382023" w:rsidRPr="004E38DF" w:rsidRDefault="00382023" w:rsidP="00E00696">
      <w:pPr>
        <w:pStyle w:val="FootnoteText"/>
        <w:jc w:val="both"/>
      </w:pPr>
      <w:r w:rsidRPr="004E38DF">
        <w:rPr>
          <w:rStyle w:val="FootnoteReference"/>
        </w:rPr>
        <w:footnoteRef/>
      </w:r>
      <w:r w:rsidRPr="004E38DF">
        <w:t xml:space="preserve"> </w:t>
      </w:r>
      <w:r w:rsidRPr="004E38DF">
        <w:rPr>
          <w:rFonts w:cs="Times New Roman"/>
          <w:lang w:val="en-US"/>
        </w:rPr>
        <w:t>Cyprus, Persons with disabilities Law of 2000 (127(</w:t>
      </w:r>
      <w:r w:rsidRPr="004E38DF">
        <w:rPr>
          <w:rFonts w:cs="Times New Roman"/>
        </w:rPr>
        <w:t>Ι</w:t>
      </w:r>
      <w:r w:rsidRPr="004E38DF">
        <w:rPr>
          <w:rFonts w:cs="Times New Roman"/>
          <w:lang w:val="en-US"/>
        </w:rPr>
        <w:t>)/2000), (</w:t>
      </w:r>
      <w:r w:rsidRPr="004E38DF">
        <w:rPr>
          <w:rFonts w:cs="Times New Roman"/>
        </w:rPr>
        <w:t>Ο</w:t>
      </w:r>
      <w:r w:rsidRPr="004E38DF">
        <w:rPr>
          <w:rFonts w:cs="Times New Roman"/>
          <w:lang w:val="en-US"/>
        </w:rPr>
        <w:t xml:space="preserve"> </w:t>
      </w:r>
      <w:r w:rsidRPr="004E38DF">
        <w:rPr>
          <w:rFonts w:cs="Times New Roman"/>
        </w:rPr>
        <w:t>Περί</w:t>
      </w:r>
      <w:r w:rsidRPr="004E38DF">
        <w:rPr>
          <w:rFonts w:cs="Times New Roman"/>
          <w:lang w:val="en-US"/>
        </w:rPr>
        <w:t xml:space="preserve"> </w:t>
      </w:r>
      <w:r w:rsidRPr="004E38DF">
        <w:rPr>
          <w:rFonts w:cs="Times New Roman"/>
        </w:rPr>
        <w:t>Ατόμων</w:t>
      </w:r>
      <w:r w:rsidRPr="004E38DF">
        <w:rPr>
          <w:rFonts w:cs="Times New Roman"/>
          <w:lang w:val="en-US"/>
        </w:rPr>
        <w:t xml:space="preserve"> </w:t>
      </w:r>
      <w:r w:rsidRPr="004E38DF">
        <w:rPr>
          <w:rFonts w:cs="Times New Roman"/>
        </w:rPr>
        <w:t>με</w:t>
      </w:r>
      <w:r w:rsidRPr="004E38DF">
        <w:rPr>
          <w:rFonts w:cs="Times New Roman"/>
          <w:lang w:val="en-US"/>
        </w:rPr>
        <w:t xml:space="preserve"> </w:t>
      </w:r>
      <w:r w:rsidRPr="004E38DF">
        <w:rPr>
          <w:rFonts w:cs="Times New Roman"/>
        </w:rPr>
        <w:t>Αναπηρίες</w:t>
      </w:r>
      <w:r w:rsidRPr="004E38DF">
        <w:rPr>
          <w:rFonts w:cs="Times New Roman"/>
          <w:lang w:val="en-US"/>
        </w:rPr>
        <w:t xml:space="preserve"> </w:t>
      </w:r>
      <w:r w:rsidRPr="004E38DF">
        <w:rPr>
          <w:rFonts w:cs="Times New Roman"/>
        </w:rPr>
        <w:t>Νόμος</w:t>
      </w:r>
      <w:r w:rsidRPr="004E38DF">
        <w:rPr>
          <w:rFonts w:cs="Times New Roman"/>
          <w:lang w:val="en-US"/>
        </w:rPr>
        <w:t>) last amended 102(I</w:t>
      </w:r>
      <w:proofErr w:type="gramStart"/>
      <w:r w:rsidRPr="004E38DF">
        <w:rPr>
          <w:rFonts w:cs="Times New Roman"/>
          <w:lang w:val="en-US"/>
        </w:rPr>
        <w:t>)2007</w:t>
      </w:r>
      <w:proofErr w:type="gramEnd"/>
      <w:r w:rsidRPr="004E38DF">
        <w:rPr>
          <w:rFonts w:cs="Times New Roman"/>
          <w:lang w:val="en-US"/>
        </w:rPr>
        <w:t xml:space="preserve">. Available at: </w:t>
      </w:r>
      <w:hyperlink r:id="rId19" w:history="1">
        <w:r w:rsidRPr="004E38DF">
          <w:rPr>
            <w:rStyle w:val="Hyperlink"/>
            <w:rFonts w:cs="Times New Roman"/>
            <w:lang w:val="en-US"/>
          </w:rPr>
          <w:t>www.cylaw.org/nomoi/enop/non-ind/2000_1_127/full.html</w:t>
        </w:r>
      </w:hyperlink>
    </w:p>
  </w:footnote>
  <w:footnote w:id="30">
    <w:p w14:paraId="35015757" w14:textId="728BC6BA" w:rsidR="00382023" w:rsidRPr="004E38DF" w:rsidRDefault="00382023" w:rsidP="00E00696">
      <w:pPr>
        <w:pStyle w:val="FootnoteText"/>
        <w:jc w:val="both"/>
        <w:rPr>
          <w:rFonts w:cs="Times New Roman"/>
          <w:lang w:val="en-US"/>
        </w:rPr>
      </w:pPr>
      <w:r w:rsidRPr="00903048">
        <w:rPr>
          <w:rStyle w:val="FootnoteReference"/>
          <w:rFonts w:cs="Times New Roman"/>
        </w:rPr>
        <w:footnoteRef/>
      </w:r>
      <w:r w:rsidRPr="00903048">
        <w:rPr>
          <w:rFonts w:cs="Times New Roman"/>
          <w:lang w:val="en-US"/>
        </w:rPr>
        <w:t xml:space="preserve"> Information obtained from Department for Social Inclusion of Persons with Disabilities, (</w:t>
      </w:r>
      <w:r w:rsidRPr="00903048">
        <w:rPr>
          <w:rFonts w:cs="Times New Roman"/>
        </w:rPr>
        <w:t>Τμήμα</w:t>
      </w:r>
      <w:r w:rsidRPr="00903048">
        <w:rPr>
          <w:rFonts w:cs="Times New Roman"/>
          <w:lang w:val="en-US"/>
        </w:rPr>
        <w:t xml:space="preserve"> </w:t>
      </w:r>
      <w:r w:rsidRPr="00903048">
        <w:rPr>
          <w:rFonts w:cs="Times New Roman"/>
        </w:rPr>
        <w:t>Κοινωνικής</w:t>
      </w:r>
      <w:r w:rsidRPr="00903048">
        <w:rPr>
          <w:rFonts w:cs="Times New Roman"/>
          <w:lang w:val="en-US"/>
        </w:rPr>
        <w:t xml:space="preserve"> </w:t>
      </w:r>
      <w:r w:rsidRPr="00903048">
        <w:rPr>
          <w:rFonts w:cs="Times New Roman"/>
        </w:rPr>
        <w:t>Ενσωμάτωσης</w:t>
      </w:r>
      <w:r w:rsidRPr="00903048">
        <w:rPr>
          <w:rFonts w:cs="Times New Roman"/>
          <w:lang w:val="en-US"/>
        </w:rPr>
        <w:t xml:space="preserve"> </w:t>
      </w:r>
      <w:r w:rsidRPr="00903048">
        <w:rPr>
          <w:rFonts w:cs="Times New Roman"/>
        </w:rPr>
        <w:t>Ατόμων</w:t>
      </w:r>
      <w:r w:rsidRPr="00903048">
        <w:rPr>
          <w:rFonts w:cs="Times New Roman"/>
          <w:lang w:val="en-US"/>
        </w:rPr>
        <w:t xml:space="preserve"> </w:t>
      </w:r>
      <w:r w:rsidRPr="00903048">
        <w:rPr>
          <w:rFonts w:cs="Times New Roman"/>
        </w:rPr>
        <w:t>με</w:t>
      </w:r>
      <w:r w:rsidRPr="00903048">
        <w:rPr>
          <w:rFonts w:cs="Times New Roman"/>
          <w:lang w:val="en-US"/>
        </w:rPr>
        <w:t xml:space="preserve"> </w:t>
      </w:r>
      <w:r w:rsidRPr="00903048">
        <w:rPr>
          <w:rFonts w:cs="Times New Roman"/>
        </w:rPr>
        <w:t>Αναπηρία</w:t>
      </w:r>
      <w:r w:rsidRPr="00903048">
        <w:rPr>
          <w:rFonts w:cs="Times New Roman"/>
          <w:lang w:val="en-US"/>
        </w:rPr>
        <w:t>).</w:t>
      </w:r>
    </w:p>
  </w:footnote>
  <w:footnote w:id="31">
    <w:p w14:paraId="12DB4BD0" w14:textId="77777777" w:rsidR="00382023" w:rsidRPr="004E38DF" w:rsidRDefault="00382023" w:rsidP="00E00696">
      <w:pPr>
        <w:pStyle w:val="FootnoteText"/>
        <w:jc w:val="both"/>
        <w:rPr>
          <w:lang w:val="en-US"/>
        </w:rPr>
      </w:pPr>
      <w:r w:rsidRPr="004E38DF">
        <w:rPr>
          <w:rStyle w:val="FootnoteReference"/>
          <w:rFonts w:cs="Times New Roman"/>
        </w:rPr>
        <w:footnoteRef/>
      </w:r>
      <w:r w:rsidRPr="004E38DF">
        <w:rPr>
          <w:rFonts w:cs="Times New Roman"/>
          <w:lang w:val="en-US"/>
        </w:rPr>
        <w:t xml:space="preserve"> Please address election authorities and national human rights bodies (e.g. national human rights institutions, equality bodies, </w:t>
      </w:r>
      <w:proofErr w:type="spellStart"/>
      <w:r w:rsidRPr="004E38DF">
        <w:rPr>
          <w:rFonts w:cs="Times New Roman"/>
          <w:lang w:val="en-US"/>
        </w:rPr>
        <w:t>ombuds</w:t>
      </w:r>
      <w:proofErr w:type="spellEnd"/>
      <w:r w:rsidRPr="004E38DF">
        <w:rPr>
          <w:rFonts w:cs="Times New Roman"/>
          <w:lang w:val="en-US"/>
        </w:rPr>
        <w:t xml:space="preserve"> institutions </w:t>
      </w:r>
      <w:proofErr w:type="spellStart"/>
      <w:r w:rsidRPr="004E38DF">
        <w:rPr>
          <w:rFonts w:cs="Times New Roman"/>
          <w:lang w:val="en-US"/>
        </w:rPr>
        <w:t>etc</w:t>
      </w:r>
      <w:proofErr w:type="spellEnd"/>
      <w:r w:rsidRPr="004E38DF">
        <w:rPr>
          <w:rFonts w:cs="Times New Roman"/>
          <w:lang w:val="en-US"/>
        </w:rPr>
        <w:t>) for this information.</w:t>
      </w:r>
    </w:p>
  </w:footnote>
  <w:footnote w:id="32">
    <w:p w14:paraId="12DB4BD1" w14:textId="77777777" w:rsidR="00382023" w:rsidRPr="004E38DF" w:rsidRDefault="00382023" w:rsidP="00E00696">
      <w:pPr>
        <w:pStyle w:val="FootnoteText"/>
        <w:jc w:val="both"/>
        <w:rPr>
          <w:color w:val="FF0000"/>
          <w:lang w:val="en-US"/>
        </w:rPr>
      </w:pPr>
      <w:r w:rsidRPr="004E38DF">
        <w:rPr>
          <w:rStyle w:val="FootnoteReference"/>
        </w:rPr>
        <w:footnoteRef/>
      </w:r>
      <w:r w:rsidRPr="004E38DF">
        <w:rPr>
          <w:lang w:val="en-US"/>
        </w:rPr>
        <w:t xml:space="preserve"> Central Election Service of the Ministry of Interior (</w:t>
      </w:r>
      <w:r w:rsidRPr="004E38DF">
        <w:t>Κεντρική</w:t>
      </w:r>
      <w:r w:rsidRPr="004E38DF">
        <w:rPr>
          <w:lang w:val="en-US"/>
        </w:rPr>
        <w:t xml:space="preserve"> </w:t>
      </w:r>
      <w:r w:rsidRPr="004E38DF">
        <w:t>Υπηρεσία</w:t>
      </w:r>
      <w:r w:rsidRPr="004E38DF">
        <w:rPr>
          <w:lang w:val="en-US"/>
        </w:rPr>
        <w:t xml:space="preserve"> </w:t>
      </w:r>
      <w:r w:rsidRPr="004E38DF">
        <w:t>Εκλογών</w:t>
      </w:r>
      <w:r w:rsidRPr="004E38DF">
        <w:rPr>
          <w:lang w:val="en-US"/>
        </w:rPr>
        <w:t xml:space="preserve"> </w:t>
      </w:r>
      <w:r w:rsidRPr="004E38DF">
        <w:t>τους</w:t>
      </w:r>
      <w:r w:rsidRPr="004E38DF">
        <w:rPr>
          <w:lang w:val="en-US"/>
        </w:rPr>
        <w:t xml:space="preserve"> </w:t>
      </w:r>
      <w:r w:rsidRPr="004E38DF">
        <w:t>Υπουργείου</w:t>
      </w:r>
      <w:r w:rsidRPr="004E38DF">
        <w:rPr>
          <w:lang w:val="en-US"/>
        </w:rPr>
        <w:t xml:space="preserve"> </w:t>
      </w:r>
      <w:r w:rsidRPr="004E38DF">
        <w:t>Εσωτερικών</w:t>
      </w:r>
      <w:r w:rsidRPr="004E38DF">
        <w:rPr>
          <w:lang w:val="en-US"/>
        </w:rPr>
        <w:t xml:space="preserve">) </w:t>
      </w:r>
      <w:hyperlink r:id="rId20" w:history="1">
        <w:r w:rsidRPr="004E38DF">
          <w:rPr>
            <w:rStyle w:val="Hyperlink"/>
            <w:lang w:val="en-US"/>
          </w:rPr>
          <w:t>www.moi.gov.cy/moi/moi.nsf/page16_gr/page16_gr?OpenDocument</w:t>
        </w:r>
      </w:hyperlink>
      <w:r w:rsidRPr="004E38DF">
        <w:rPr>
          <w:lang w:val="en-US"/>
        </w:rPr>
        <w:t xml:space="preserve"> ; Equality Authority and Anti-discrimination Body (</w:t>
      </w:r>
      <w:proofErr w:type="spellStart"/>
      <w:r w:rsidRPr="004E38DF">
        <w:rPr>
          <w:lang w:val="en-US"/>
        </w:rPr>
        <w:t>Αρχ</w:t>
      </w:r>
      <w:proofErr w:type="spellEnd"/>
      <w:r w:rsidRPr="004E38DF">
        <w:t>ή</w:t>
      </w:r>
      <w:r w:rsidRPr="004E38DF">
        <w:rPr>
          <w:lang w:val="en-US"/>
        </w:rPr>
        <w:t xml:space="preserve"> </w:t>
      </w:r>
      <w:r w:rsidRPr="004E38DF">
        <w:t>Ισότητας</w:t>
      </w:r>
      <w:r w:rsidRPr="004E38DF">
        <w:rPr>
          <w:lang w:val="en-US"/>
        </w:rPr>
        <w:t xml:space="preserve"> </w:t>
      </w:r>
      <w:r w:rsidRPr="004E38DF">
        <w:t>και</w:t>
      </w:r>
      <w:r w:rsidRPr="004E38DF">
        <w:rPr>
          <w:lang w:val="en-US"/>
        </w:rPr>
        <w:t xml:space="preserve"> </w:t>
      </w:r>
      <w:r w:rsidRPr="004E38DF">
        <w:t>Αρχή</w:t>
      </w:r>
      <w:r w:rsidRPr="004E38DF">
        <w:rPr>
          <w:lang w:val="en-US"/>
        </w:rPr>
        <w:t xml:space="preserve"> </w:t>
      </w:r>
      <w:r w:rsidRPr="004E38DF">
        <w:t>κατά</w:t>
      </w:r>
      <w:r w:rsidRPr="004E38DF">
        <w:rPr>
          <w:lang w:val="en-US"/>
        </w:rPr>
        <w:t xml:space="preserve"> </w:t>
      </w:r>
      <w:r w:rsidRPr="004E38DF">
        <w:t>των</w:t>
      </w:r>
      <w:r w:rsidRPr="004E38DF">
        <w:rPr>
          <w:lang w:val="en-US"/>
        </w:rPr>
        <w:t xml:space="preserve"> </w:t>
      </w:r>
      <w:r w:rsidRPr="004E38DF">
        <w:t>Διακρίσεων</w:t>
      </w:r>
      <w:r w:rsidRPr="004E38DF">
        <w:rPr>
          <w:lang w:val="en-US"/>
        </w:rPr>
        <w:t>) www.no-discrimination.ombudsman.gov.cy/en/node/191</w:t>
      </w:r>
    </w:p>
  </w:footnote>
  <w:footnote w:id="33">
    <w:p w14:paraId="12DB4BD2" w14:textId="4A6A4659" w:rsidR="00382023" w:rsidRPr="001A6990" w:rsidRDefault="00382023" w:rsidP="00E00696">
      <w:pPr>
        <w:pStyle w:val="FootnoteText"/>
        <w:jc w:val="both"/>
        <w:rPr>
          <w:lang w:val="en-US"/>
        </w:rPr>
      </w:pPr>
      <w:r w:rsidRPr="001A6990">
        <w:rPr>
          <w:rStyle w:val="FootnoteReference"/>
        </w:rPr>
        <w:footnoteRef/>
      </w:r>
      <w:r w:rsidRPr="001A6990">
        <w:rPr>
          <w:lang w:val="en-US"/>
        </w:rPr>
        <w:t>Information obtained from the Central Election Service (</w:t>
      </w:r>
      <w:r w:rsidRPr="001A6990">
        <w:t>Κεντρική</w:t>
      </w:r>
      <w:r w:rsidRPr="001A6990">
        <w:rPr>
          <w:lang w:val="en-US"/>
        </w:rPr>
        <w:t xml:space="preserve"> </w:t>
      </w:r>
      <w:r w:rsidRPr="001A6990">
        <w:t>Υπηρεσία</w:t>
      </w:r>
      <w:r w:rsidRPr="001A6990">
        <w:rPr>
          <w:lang w:val="en-US"/>
        </w:rPr>
        <w:t xml:space="preserve"> </w:t>
      </w:r>
      <w:r w:rsidRPr="001A6990">
        <w:t>Εκλογών</w:t>
      </w:r>
      <w:r w:rsidRPr="001A6990">
        <w:rPr>
          <w:lang w:val="en-US"/>
        </w:rPr>
        <w:t>)</w:t>
      </w:r>
    </w:p>
  </w:footnote>
  <w:footnote w:id="34">
    <w:p w14:paraId="6919CC7C" w14:textId="189EC4B7" w:rsidR="00382023" w:rsidRPr="001A6990" w:rsidRDefault="00382023" w:rsidP="001A6990">
      <w:pPr>
        <w:pStyle w:val="FootnoteText"/>
        <w:jc w:val="both"/>
      </w:pPr>
      <w:r w:rsidRPr="001A6990">
        <w:rPr>
          <w:rStyle w:val="FootnoteReference"/>
        </w:rPr>
        <w:footnoteRef/>
      </w:r>
      <w:r w:rsidRPr="001A6990">
        <w:t xml:space="preserve"> </w:t>
      </w:r>
      <w:r w:rsidRPr="001A6990">
        <w:rPr>
          <w:rFonts w:eastAsia="Calibri" w:cs="Times New Roman"/>
          <w:lang w:val="en-GB"/>
        </w:rPr>
        <w:t>The platform of the Cyprus BAR association where all the decisions and legislations are uploaded was searched (</w:t>
      </w:r>
      <w:r w:rsidRPr="001A6990">
        <w:rPr>
          <w:lang w:val="en-US"/>
        </w:rPr>
        <w:t>Cyprus</w:t>
      </w:r>
      <w:r w:rsidRPr="001A6990">
        <w:t xml:space="preserve"> </w:t>
      </w:r>
      <w:r w:rsidRPr="001A6990">
        <w:rPr>
          <w:lang w:val="en-US"/>
        </w:rPr>
        <w:t>Bar</w:t>
      </w:r>
      <w:r w:rsidRPr="001A6990">
        <w:t xml:space="preserve"> </w:t>
      </w:r>
      <w:r w:rsidRPr="001A6990">
        <w:rPr>
          <w:lang w:val="en-US"/>
        </w:rPr>
        <w:t>Association</w:t>
      </w:r>
      <w:r w:rsidRPr="001A6990">
        <w:t xml:space="preserve"> (</w:t>
      </w:r>
      <w:proofErr w:type="spellStart"/>
      <w:r w:rsidRPr="001A6990">
        <w:t>Παγκύπριος</w:t>
      </w:r>
      <w:proofErr w:type="spellEnd"/>
      <w:r w:rsidRPr="001A6990">
        <w:t xml:space="preserve"> Δικηγορικός Σύλλογος)</w:t>
      </w:r>
      <w:r w:rsidRPr="001A6990">
        <w:rPr>
          <w:lang w:val="en-IE"/>
        </w:rPr>
        <w:t>:</w:t>
      </w:r>
      <w:r w:rsidRPr="001A6990">
        <w:t xml:space="preserve"> </w:t>
      </w:r>
      <w:hyperlink r:id="rId21" w:history="1">
        <w:r w:rsidRPr="001A6990">
          <w:rPr>
            <w:rStyle w:val="Hyperlink"/>
            <w:color w:val="auto"/>
            <w:lang w:val="en-US"/>
          </w:rPr>
          <w:t>www</w:t>
        </w:r>
        <w:r w:rsidRPr="001A6990">
          <w:rPr>
            <w:rStyle w:val="Hyperlink"/>
            <w:color w:val="auto"/>
          </w:rPr>
          <w:t>.</w:t>
        </w:r>
        <w:proofErr w:type="spellStart"/>
        <w:r w:rsidRPr="001A6990">
          <w:rPr>
            <w:rStyle w:val="Hyperlink"/>
            <w:color w:val="auto"/>
            <w:lang w:val="en-US"/>
          </w:rPr>
          <w:t>cylaw</w:t>
        </w:r>
        <w:proofErr w:type="spellEnd"/>
        <w:r w:rsidRPr="001A6990">
          <w:rPr>
            <w:rStyle w:val="Hyperlink"/>
            <w:color w:val="auto"/>
          </w:rPr>
          <w:t>.</w:t>
        </w:r>
        <w:r w:rsidRPr="001A6990">
          <w:rPr>
            <w:rStyle w:val="Hyperlink"/>
            <w:color w:val="auto"/>
            <w:lang w:val="en-US"/>
          </w:rPr>
          <w:t>org</w:t>
        </w:r>
        <w:r w:rsidRPr="001A6990">
          <w:rPr>
            <w:rStyle w:val="Hyperlink"/>
            <w:color w:val="auto"/>
          </w:rPr>
          <w:t>/</w:t>
        </w:r>
      </w:hyperlink>
      <w:r w:rsidRPr="001A6990">
        <w:rPr>
          <w:lang w:val="en-IE"/>
        </w:rPr>
        <w:t xml:space="preserve">) </w:t>
      </w:r>
      <w:r w:rsidRPr="001A6990">
        <w:rPr>
          <w:rFonts w:eastAsia="Calibri" w:cs="Times New Roman"/>
          <w:lang w:val="en-GB"/>
        </w:rPr>
        <w:t xml:space="preserve">and information was requested from various stakeholders. </w:t>
      </w:r>
      <w:r w:rsidRPr="001A6990">
        <w:rPr>
          <w:rFonts w:eastAsia="Calibri" w:cs="Times New Roman"/>
          <w:lang w:val="en-US"/>
        </w:rPr>
        <w:t>Judicial decisions or case law were requested from the Central Election Service, the Ombudsman’s Office, the Department of Social Inclusion of Persons with Disabilities, and the Cyprus Paraplegic Association.</w:t>
      </w:r>
      <w:r w:rsidRPr="001A6990">
        <w:rPr>
          <w:rFonts w:eastAsia="Calibri" w:cs="Times New Roman"/>
          <w:b/>
          <w:i/>
          <w:lang w:val="en-US"/>
        </w:rPr>
        <w:t xml:space="preserve"> </w:t>
      </w:r>
    </w:p>
  </w:footnote>
  <w:footnote w:id="35">
    <w:p w14:paraId="1FE4CF2C" w14:textId="30ADAFC8" w:rsidR="00382023" w:rsidRPr="001A6990" w:rsidRDefault="00382023" w:rsidP="001A6990">
      <w:pPr>
        <w:pStyle w:val="FootnoteText"/>
        <w:jc w:val="both"/>
        <w:rPr>
          <w:lang w:val="en-IE"/>
        </w:rPr>
      </w:pPr>
      <w:r w:rsidRPr="001A6990">
        <w:rPr>
          <w:rStyle w:val="FootnoteReference"/>
        </w:rPr>
        <w:footnoteRef/>
      </w:r>
      <w:r w:rsidRPr="001A6990">
        <w:t xml:space="preserve"> </w:t>
      </w:r>
      <w:r w:rsidRPr="001A6990">
        <w:rPr>
          <w:rFonts w:eastAsia="Calibri" w:cs="Times New Roman"/>
          <w:lang w:val="en-GB"/>
        </w:rPr>
        <w:t xml:space="preserve">The consulted stakeholders were the </w:t>
      </w:r>
      <w:r w:rsidRPr="001A6990">
        <w:rPr>
          <w:rFonts w:eastAsia="Calibri" w:cs="Times New Roman"/>
          <w:lang w:val="en-US"/>
        </w:rPr>
        <w:t>Central Election Service, the Ombudsman’s Office, the Department of Social Inclusion of Persons with Disabilities, and the Cyprus Paraplegic Association. Desk-research was also conducted without any results.</w:t>
      </w:r>
    </w:p>
  </w:footnote>
  <w:footnote w:id="36">
    <w:p w14:paraId="12DB4BD4" w14:textId="3251E5C0" w:rsidR="00382023" w:rsidRPr="007C3CB5" w:rsidRDefault="00382023" w:rsidP="00E00696">
      <w:pPr>
        <w:pStyle w:val="FootnoteText"/>
        <w:jc w:val="both"/>
        <w:rPr>
          <w:rFonts w:cs="Times New Roman"/>
          <w:lang w:val="en-US"/>
        </w:rPr>
      </w:pPr>
      <w:r w:rsidRPr="007C3CB5">
        <w:rPr>
          <w:rStyle w:val="FootnoteReference"/>
          <w:rFonts w:cs="Times New Roman"/>
        </w:rPr>
        <w:footnoteRef/>
      </w:r>
      <w:r w:rsidRPr="007C3CB5">
        <w:rPr>
          <w:rFonts w:cs="Times New Roman"/>
          <w:lang w:val="en-US"/>
        </w:rPr>
        <w:t xml:space="preserve"> Information obtained from the </w:t>
      </w:r>
      <w:r w:rsidRPr="007C3CB5">
        <w:rPr>
          <w:rFonts w:eastAsia="Calibri" w:cs="Times New Roman"/>
          <w:lang w:val="en-GB"/>
        </w:rPr>
        <w:t>Department for Social Inclusion of persons with disabilities, (</w:t>
      </w:r>
      <w:proofErr w:type="spellStart"/>
      <w:r w:rsidRPr="007C3CB5">
        <w:rPr>
          <w:rFonts w:eastAsia="Calibri" w:cs="Times New Roman"/>
          <w:lang w:val="en-GB"/>
        </w:rPr>
        <w:t>Τμήμ</w:t>
      </w:r>
      <w:proofErr w:type="spellEnd"/>
      <w:r w:rsidRPr="007C3CB5">
        <w:rPr>
          <w:rFonts w:eastAsia="Calibri" w:cs="Times New Roman"/>
          <w:lang w:val="en-GB"/>
        </w:rPr>
        <w:t xml:space="preserve">α </w:t>
      </w:r>
      <w:proofErr w:type="spellStart"/>
      <w:r w:rsidRPr="007C3CB5">
        <w:rPr>
          <w:rFonts w:eastAsia="Calibri" w:cs="Times New Roman"/>
          <w:lang w:val="en-GB"/>
        </w:rPr>
        <w:t>Κοινωνικής</w:t>
      </w:r>
      <w:proofErr w:type="spellEnd"/>
      <w:r w:rsidRPr="007C3CB5">
        <w:rPr>
          <w:rFonts w:eastAsia="Calibri" w:cs="Times New Roman"/>
          <w:lang w:val="en-GB"/>
        </w:rPr>
        <w:t xml:space="preserve"> </w:t>
      </w:r>
      <w:proofErr w:type="spellStart"/>
      <w:r w:rsidRPr="007C3CB5">
        <w:rPr>
          <w:rFonts w:eastAsia="Calibri" w:cs="Times New Roman"/>
          <w:lang w:val="en-GB"/>
        </w:rPr>
        <w:t>Ενσωμάτωσης</w:t>
      </w:r>
      <w:proofErr w:type="spellEnd"/>
      <w:r w:rsidRPr="007C3CB5">
        <w:rPr>
          <w:rFonts w:eastAsia="Calibri" w:cs="Times New Roman"/>
          <w:lang w:val="en-GB"/>
        </w:rPr>
        <w:t xml:space="preserve"> </w:t>
      </w:r>
      <w:proofErr w:type="spellStart"/>
      <w:r w:rsidRPr="007C3CB5">
        <w:rPr>
          <w:rFonts w:eastAsia="Calibri" w:cs="Times New Roman"/>
          <w:lang w:val="en-GB"/>
        </w:rPr>
        <w:t>Ατόμων</w:t>
      </w:r>
      <w:proofErr w:type="spellEnd"/>
      <w:r w:rsidRPr="007C3CB5">
        <w:rPr>
          <w:rFonts w:eastAsia="Calibri" w:cs="Times New Roman"/>
          <w:lang w:val="en-GB"/>
        </w:rPr>
        <w:t xml:space="preserve"> </w:t>
      </w:r>
      <w:proofErr w:type="spellStart"/>
      <w:r w:rsidRPr="007C3CB5">
        <w:rPr>
          <w:rFonts w:eastAsia="Calibri" w:cs="Times New Roman"/>
          <w:lang w:val="en-GB"/>
        </w:rPr>
        <w:t>με</w:t>
      </w:r>
      <w:proofErr w:type="spellEnd"/>
      <w:r w:rsidRPr="007C3CB5">
        <w:rPr>
          <w:rFonts w:eastAsia="Calibri" w:cs="Times New Roman"/>
          <w:lang w:val="en-GB"/>
        </w:rPr>
        <w:t xml:space="preserve"> </w:t>
      </w:r>
      <w:proofErr w:type="spellStart"/>
      <w:r w:rsidRPr="007C3CB5">
        <w:rPr>
          <w:rFonts w:eastAsia="Calibri" w:cs="Times New Roman"/>
          <w:lang w:val="en-GB"/>
        </w:rPr>
        <w:t>Αν</w:t>
      </w:r>
      <w:proofErr w:type="spellEnd"/>
      <w:r w:rsidRPr="007C3CB5">
        <w:rPr>
          <w:rFonts w:eastAsia="Calibri" w:cs="Times New Roman"/>
          <w:lang w:val="en-GB"/>
        </w:rPr>
        <w:t>απηρίες).</w:t>
      </w:r>
    </w:p>
  </w:footnote>
  <w:footnote w:id="37">
    <w:p w14:paraId="12DB4BD5" w14:textId="1F736AF3" w:rsidR="00382023" w:rsidRPr="007C3CB5" w:rsidRDefault="00382023" w:rsidP="00E00696">
      <w:pPr>
        <w:pStyle w:val="FootnoteText"/>
        <w:jc w:val="both"/>
        <w:rPr>
          <w:rFonts w:cs="Times New Roman"/>
          <w:lang w:val="en-US"/>
        </w:rPr>
      </w:pPr>
      <w:r w:rsidRPr="007C3CB5">
        <w:rPr>
          <w:rStyle w:val="FootnoteReference"/>
          <w:rFonts w:cs="Times New Roman"/>
        </w:rPr>
        <w:footnoteRef/>
      </w:r>
      <w:r w:rsidRPr="007C3CB5">
        <w:rPr>
          <w:rFonts w:cs="Times New Roman"/>
          <w:lang w:val="en-US"/>
        </w:rPr>
        <w:t xml:space="preserve"> Information obtained from the Central Elections Authority (</w:t>
      </w:r>
      <w:r w:rsidRPr="007C3CB5">
        <w:rPr>
          <w:rFonts w:cs="Times New Roman"/>
        </w:rPr>
        <w:t>Κεντρική</w:t>
      </w:r>
      <w:r w:rsidRPr="007C3CB5">
        <w:rPr>
          <w:rFonts w:cs="Times New Roman"/>
          <w:lang w:val="en-US"/>
        </w:rPr>
        <w:t xml:space="preserve"> </w:t>
      </w:r>
      <w:r w:rsidRPr="007C3CB5">
        <w:rPr>
          <w:rFonts w:cs="Times New Roman"/>
        </w:rPr>
        <w:t>Υπηρεσία</w:t>
      </w:r>
      <w:r w:rsidRPr="007C3CB5">
        <w:rPr>
          <w:rFonts w:cs="Times New Roman"/>
          <w:lang w:val="en-US"/>
        </w:rPr>
        <w:t xml:space="preserve"> </w:t>
      </w:r>
      <w:r w:rsidRPr="007C3CB5">
        <w:rPr>
          <w:rFonts w:cs="Times New Roman"/>
        </w:rPr>
        <w:t>Εκλογών</w:t>
      </w:r>
      <w:r w:rsidRPr="007C3CB5">
        <w:rPr>
          <w:rFonts w:cs="Times New Roman"/>
          <w:lang w:val="en-US"/>
        </w:rPr>
        <w:t>).</w:t>
      </w:r>
    </w:p>
  </w:footnote>
  <w:footnote w:id="38">
    <w:p w14:paraId="12DB4BD6" w14:textId="29DAB256" w:rsidR="00382023" w:rsidRPr="004E38DF" w:rsidRDefault="00382023" w:rsidP="00E00696">
      <w:pPr>
        <w:pStyle w:val="FootnoteText"/>
        <w:jc w:val="both"/>
        <w:rPr>
          <w:lang w:val="en-US"/>
        </w:rPr>
      </w:pPr>
      <w:r w:rsidRPr="007C3CB5">
        <w:rPr>
          <w:rStyle w:val="FootnoteReference"/>
        </w:rPr>
        <w:footnoteRef/>
      </w:r>
      <w:r w:rsidRPr="007C3CB5">
        <w:rPr>
          <w:lang w:val="en-US"/>
        </w:rPr>
        <w:t xml:space="preserve"> Information obtained from the Central Election Service (</w:t>
      </w:r>
      <w:proofErr w:type="spellStart"/>
      <w:r w:rsidRPr="007C3CB5">
        <w:rPr>
          <w:lang w:val="en-US"/>
        </w:rPr>
        <w:t>Κεντρική</w:t>
      </w:r>
      <w:proofErr w:type="spellEnd"/>
      <w:r w:rsidRPr="007C3CB5">
        <w:rPr>
          <w:lang w:val="en-US"/>
        </w:rPr>
        <w:t xml:space="preserve"> Υπ</w:t>
      </w:r>
      <w:proofErr w:type="spellStart"/>
      <w:r w:rsidRPr="007C3CB5">
        <w:rPr>
          <w:lang w:val="en-US"/>
        </w:rPr>
        <w:t>ηρεσί</w:t>
      </w:r>
      <w:proofErr w:type="spellEnd"/>
      <w:r w:rsidRPr="007C3CB5">
        <w:rPr>
          <w:lang w:val="en-US"/>
        </w:rPr>
        <w:t xml:space="preserve">α </w:t>
      </w:r>
      <w:proofErr w:type="spellStart"/>
      <w:r w:rsidRPr="007C3CB5">
        <w:rPr>
          <w:lang w:val="en-US"/>
        </w:rPr>
        <w:t>Εκλογών</w:t>
      </w:r>
      <w:proofErr w:type="spellEnd"/>
      <w:r w:rsidRPr="007C3CB5">
        <w:rPr>
          <w:lang w:val="en-US"/>
        </w:rPr>
        <w:t xml:space="preserve">). </w:t>
      </w:r>
    </w:p>
  </w:footnote>
  <w:footnote w:id="39">
    <w:p w14:paraId="5E41D4A7" w14:textId="58493D85" w:rsidR="00382023" w:rsidRPr="007C3CB5" w:rsidRDefault="00382023">
      <w:pPr>
        <w:pStyle w:val="FootnoteText"/>
        <w:rPr>
          <w:lang w:val="en-IE"/>
        </w:rPr>
      </w:pPr>
      <w:r>
        <w:rPr>
          <w:rStyle w:val="FootnoteReference"/>
        </w:rPr>
        <w:footnoteRef/>
      </w:r>
      <w:r>
        <w:t xml:space="preserve"> </w:t>
      </w:r>
      <w:r>
        <w:rPr>
          <w:lang w:val="en-IE"/>
        </w:rPr>
        <w:t>Information obtained from</w:t>
      </w:r>
      <w:r w:rsidRPr="007C3CB5">
        <w:rPr>
          <w:lang w:val="en-IE"/>
        </w:rPr>
        <w:t xml:space="preserve"> the </w:t>
      </w:r>
      <w:r w:rsidRPr="007C3CB5">
        <w:rPr>
          <w:rFonts w:eastAsia="Calibri" w:cs="Times New Roman"/>
          <w:lang w:val="en-GB"/>
        </w:rPr>
        <w:t>Union of Cyprus Municipalities and the Cyprus Union of Communities.</w:t>
      </w:r>
    </w:p>
  </w:footnote>
  <w:footnote w:id="40">
    <w:p w14:paraId="12DB4BD8" w14:textId="77777777" w:rsidR="00382023" w:rsidRPr="004E38DF" w:rsidRDefault="00382023" w:rsidP="00E00696">
      <w:pPr>
        <w:pStyle w:val="FootnoteText"/>
        <w:jc w:val="both"/>
        <w:rPr>
          <w:lang w:val="en-US"/>
        </w:rPr>
      </w:pPr>
      <w:r w:rsidRPr="004E38DF">
        <w:rPr>
          <w:rStyle w:val="FootnoteReference"/>
          <w:rFonts w:cs="Times New Roman"/>
        </w:rPr>
        <w:footnoteRef/>
      </w:r>
      <w:r w:rsidRPr="004E38DF">
        <w:rPr>
          <w:rFonts w:cs="Times New Roman"/>
          <w:lang w:val="en-US"/>
        </w:rPr>
        <w:t xml:space="preserve"> Please base the response on existing data available from national or local governments or election authorities, or other survey data.</w:t>
      </w:r>
    </w:p>
  </w:footnote>
  <w:footnote w:id="41">
    <w:p w14:paraId="12DB4BD9" w14:textId="3F6CE056" w:rsidR="00382023" w:rsidRPr="00DB2616" w:rsidRDefault="00382023" w:rsidP="00E00696">
      <w:pPr>
        <w:pStyle w:val="FootnoteText"/>
        <w:jc w:val="both"/>
        <w:rPr>
          <w:lang w:val="en-US"/>
        </w:rPr>
      </w:pPr>
      <w:r w:rsidRPr="00DB2616">
        <w:rPr>
          <w:rStyle w:val="FootnoteReference"/>
        </w:rPr>
        <w:footnoteRef/>
      </w:r>
      <w:r w:rsidRPr="00DB2616">
        <w:rPr>
          <w:lang w:val="en-US"/>
        </w:rPr>
        <w:t xml:space="preserve"> Information obtained from the Central Election Service (</w:t>
      </w:r>
      <w:proofErr w:type="spellStart"/>
      <w:r w:rsidRPr="00DB2616">
        <w:rPr>
          <w:lang w:val="en-US"/>
        </w:rPr>
        <w:t>Κεντρική</w:t>
      </w:r>
      <w:proofErr w:type="spellEnd"/>
      <w:r w:rsidRPr="00DB2616">
        <w:rPr>
          <w:lang w:val="en-US"/>
        </w:rPr>
        <w:t xml:space="preserve"> Υπ</w:t>
      </w:r>
      <w:proofErr w:type="spellStart"/>
      <w:r w:rsidRPr="00DB2616">
        <w:rPr>
          <w:lang w:val="en-US"/>
        </w:rPr>
        <w:t>ηρεσί</w:t>
      </w:r>
      <w:proofErr w:type="spellEnd"/>
      <w:r w:rsidRPr="00DB2616">
        <w:rPr>
          <w:lang w:val="en-US"/>
        </w:rPr>
        <w:t xml:space="preserve">α </w:t>
      </w:r>
      <w:proofErr w:type="spellStart"/>
      <w:r w:rsidRPr="00DB2616">
        <w:rPr>
          <w:lang w:val="en-US"/>
        </w:rPr>
        <w:t>Εκλογών</w:t>
      </w:r>
      <w:proofErr w:type="spellEnd"/>
      <w:r w:rsidRPr="00DB2616">
        <w:rPr>
          <w:lang w:val="en-US"/>
        </w:rPr>
        <w:t xml:space="preserve">). </w:t>
      </w:r>
    </w:p>
  </w:footnote>
  <w:footnote w:id="42">
    <w:p w14:paraId="3A4458E2" w14:textId="106F3668" w:rsidR="00382023" w:rsidRPr="00DB2616" w:rsidRDefault="00382023" w:rsidP="00DB2616">
      <w:pPr>
        <w:pStyle w:val="FootnoteText"/>
        <w:jc w:val="both"/>
        <w:rPr>
          <w:lang w:val="en-US"/>
        </w:rPr>
      </w:pPr>
      <w:r w:rsidRPr="00DB2616">
        <w:rPr>
          <w:rStyle w:val="FootnoteReference"/>
        </w:rPr>
        <w:footnoteRef/>
      </w:r>
      <w:r w:rsidRPr="00DB2616">
        <w:rPr>
          <w:lang w:val="en-US"/>
        </w:rPr>
        <w:t xml:space="preserve"> Information obtained from the Cyprus Paraplegic Association (</w:t>
      </w:r>
      <w:r w:rsidRPr="00DB2616">
        <w:t>Οργάνωση</w:t>
      </w:r>
      <w:r w:rsidRPr="00DB2616">
        <w:rPr>
          <w:lang w:val="en-US"/>
        </w:rPr>
        <w:t xml:space="preserve"> </w:t>
      </w:r>
      <w:r w:rsidRPr="00DB2616">
        <w:t>Παραπληγικών</w:t>
      </w:r>
      <w:r w:rsidRPr="00DB2616">
        <w:rPr>
          <w:lang w:val="en-US"/>
        </w:rPr>
        <w:t xml:space="preserve"> </w:t>
      </w:r>
      <w:r w:rsidRPr="00DB2616">
        <w:t>Κύπρου</w:t>
      </w:r>
      <w:r w:rsidRPr="00DB2616">
        <w:rPr>
          <w:lang w:val="en-US"/>
        </w:rPr>
        <w:t xml:space="preserve">): </w:t>
      </w:r>
      <w:r w:rsidRPr="00DB2616">
        <w:rPr>
          <w:rFonts w:eastAsia="Calibri" w:cs="Times New Roman"/>
          <w:lang w:val="en-GB"/>
        </w:rPr>
        <w:t>The Association’s list includes only the persons who address to it to be registered. This list does not represent the actual number of paraplegics in Cyprus.</w:t>
      </w:r>
    </w:p>
  </w:footnote>
  <w:footnote w:id="43">
    <w:p w14:paraId="12DB4BDB" w14:textId="088AE8DD" w:rsidR="00382023" w:rsidRPr="004E38DF" w:rsidRDefault="00382023" w:rsidP="00E00696">
      <w:pPr>
        <w:pStyle w:val="FootnoteText"/>
        <w:jc w:val="both"/>
        <w:rPr>
          <w:rFonts w:cs="Times New Roman"/>
          <w:lang w:val="en-US"/>
        </w:rPr>
      </w:pPr>
      <w:r w:rsidRPr="00DB2616">
        <w:rPr>
          <w:rStyle w:val="FootnoteReference"/>
          <w:rFonts w:cs="Times New Roman"/>
        </w:rPr>
        <w:footnoteRef/>
      </w:r>
      <w:r w:rsidRPr="00DB2616">
        <w:rPr>
          <w:rFonts w:cs="Times New Roman"/>
          <w:lang w:val="en-US"/>
        </w:rPr>
        <w:t xml:space="preserve"> Information obtained from the Central Elections Authority (</w:t>
      </w:r>
      <w:r w:rsidRPr="00DB2616">
        <w:rPr>
          <w:rFonts w:cs="Times New Roman"/>
        </w:rPr>
        <w:t>Κεντρική</w:t>
      </w:r>
      <w:r w:rsidRPr="00DB2616">
        <w:rPr>
          <w:rFonts w:cs="Times New Roman"/>
          <w:lang w:val="en-US"/>
        </w:rPr>
        <w:t xml:space="preserve"> </w:t>
      </w:r>
      <w:r w:rsidRPr="00DB2616">
        <w:rPr>
          <w:rFonts w:cs="Times New Roman"/>
        </w:rPr>
        <w:t>Υπηρεσία</w:t>
      </w:r>
      <w:r w:rsidRPr="00DB2616">
        <w:rPr>
          <w:rFonts w:cs="Times New Roman"/>
          <w:lang w:val="en-US"/>
        </w:rPr>
        <w:t xml:space="preserve"> </w:t>
      </w:r>
      <w:r w:rsidRPr="00DB2616">
        <w:rPr>
          <w:rFonts w:cs="Times New Roman"/>
        </w:rPr>
        <w:t>Εκλογών</w:t>
      </w:r>
      <w:r w:rsidRPr="00DB2616">
        <w:rPr>
          <w:rFonts w:cs="Times New Roman"/>
          <w:lang w:val="en-US"/>
        </w:rPr>
        <w:t>).</w:t>
      </w:r>
    </w:p>
  </w:footnote>
  <w:footnote w:id="44">
    <w:p w14:paraId="1E4FC3E4" w14:textId="4ED57E50" w:rsidR="00382023" w:rsidRPr="004E38DF" w:rsidRDefault="00382023" w:rsidP="00E00696">
      <w:pPr>
        <w:pStyle w:val="FootnoteText"/>
        <w:jc w:val="both"/>
        <w:rPr>
          <w:lang w:val="en-IE"/>
        </w:rPr>
      </w:pPr>
      <w:r w:rsidRPr="004E38DF">
        <w:rPr>
          <w:rStyle w:val="FootnoteReference"/>
        </w:rPr>
        <w:footnoteRef/>
      </w:r>
      <w:r w:rsidRPr="004E38DF">
        <w:t xml:space="preserve"> </w:t>
      </w:r>
      <w:proofErr w:type="gramStart"/>
      <w:r w:rsidRPr="004E38DF">
        <w:rPr>
          <w:lang w:val="en-IE"/>
        </w:rPr>
        <w:t xml:space="preserve">OSCE/ODIHR election monitoring reports, </w:t>
      </w:r>
      <w:r w:rsidRPr="004E38DF">
        <w:rPr>
          <w:iCs/>
          <w:lang w:val="en-IE"/>
        </w:rPr>
        <w:t xml:space="preserve">P. 16, </w:t>
      </w:r>
      <w:hyperlink r:id="rId22" w:history="1">
        <w:r w:rsidRPr="004E38DF">
          <w:rPr>
            <w:rStyle w:val="Hyperlink"/>
            <w:lang w:val="en-IE"/>
          </w:rPr>
          <w:t>http://www.osce.org/odihr/elections/82242</w:t>
        </w:r>
      </w:hyperlink>
      <w:r w:rsidRPr="004E38DF">
        <w:rPr>
          <w:lang w:val="en-IE"/>
        </w:rPr>
        <w:t>.</w:t>
      </w:r>
      <w:proofErr w:type="gramEnd"/>
    </w:p>
  </w:footnote>
  <w:footnote w:id="45">
    <w:p w14:paraId="12DB4BDC" w14:textId="77777777" w:rsidR="00382023" w:rsidRPr="00DB2616" w:rsidRDefault="00382023" w:rsidP="00E00696">
      <w:pPr>
        <w:pStyle w:val="FootnoteText"/>
        <w:jc w:val="both"/>
        <w:rPr>
          <w:rFonts w:cs="Times New Roman"/>
          <w:lang w:val="en-US"/>
        </w:rPr>
      </w:pPr>
      <w:r w:rsidRPr="00DB2616">
        <w:rPr>
          <w:rStyle w:val="FootnoteReference"/>
          <w:rFonts w:cs="Times New Roman"/>
        </w:rPr>
        <w:footnoteRef/>
      </w:r>
      <w:r w:rsidRPr="00DB2616">
        <w:rPr>
          <w:rFonts w:cs="Times New Roman"/>
          <w:lang w:val="en-US"/>
        </w:rPr>
        <w:t xml:space="preserve"> For Level AA conformance, the Web page satisfies all the Level A and Level AA Success Criteria, or a Level AA conforming alternate version is provided. For more information, please see: </w:t>
      </w:r>
      <w:hyperlink r:id="rId23" w:anchor="uc-conformance-requirements-head" w:history="1">
        <w:r w:rsidRPr="00DB2616">
          <w:rPr>
            <w:rStyle w:val="Hyperlink"/>
            <w:rFonts w:cs="Times New Roman"/>
            <w:color w:val="auto"/>
            <w:lang w:val="en-US"/>
          </w:rPr>
          <w:t>www.w3.org/TR/UNDERSTANDING-WCAG20/conformance.html#uc-conformance-requirements-head</w:t>
        </w:r>
      </w:hyperlink>
      <w:r w:rsidRPr="00DB2616">
        <w:rPr>
          <w:rFonts w:cs="Times New Roman"/>
          <w:lang w:val="en-US"/>
        </w:rPr>
        <w:t xml:space="preserve">. </w:t>
      </w:r>
    </w:p>
  </w:footnote>
  <w:footnote w:id="46">
    <w:p w14:paraId="12DB4BDD" w14:textId="69C176E4" w:rsidR="00382023" w:rsidRPr="00DB2616" w:rsidRDefault="00382023" w:rsidP="00E00696">
      <w:pPr>
        <w:pStyle w:val="FootnoteText"/>
        <w:jc w:val="both"/>
        <w:rPr>
          <w:rFonts w:cs="Times New Roman"/>
          <w:lang w:val="en-US"/>
        </w:rPr>
      </w:pPr>
      <w:r w:rsidRPr="00DB2616">
        <w:rPr>
          <w:rStyle w:val="FootnoteReference"/>
          <w:rFonts w:cs="Times New Roman"/>
        </w:rPr>
        <w:footnoteRef/>
      </w:r>
      <w:r w:rsidRPr="00DB2616">
        <w:rPr>
          <w:rFonts w:cs="Times New Roman"/>
          <w:lang w:val="en-US"/>
        </w:rPr>
        <w:t xml:space="preserve"> Information obtained from the Central Elections Authority (</w:t>
      </w:r>
      <w:r w:rsidRPr="00DB2616">
        <w:rPr>
          <w:rFonts w:cs="Times New Roman"/>
        </w:rPr>
        <w:t>Κεντρική</w:t>
      </w:r>
      <w:r w:rsidRPr="00DB2616">
        <w:rPr>
          <w:rFonts w:cs="Times New Roman"/>
          <w:lang w:val="en-US"/>
        </w:rPr>
        <w:t xml:space="preserve"> </w:t>
      </w:r>
      <w:r w:rsidRPr="00DB2616">
        <w:rPr>
          <w:rFonts w:cs="Times New Roman"/>
        </w:rPr>
        <w:t>Υπηρεσία</w:t>
      </w:r>
      <w:r w:rsidRPr="00DB2616">
        <w:rPr>
          <w:rFonts w:cs="Times New Roman"/>
          <w:lang w:val="en-US"/>
        </w:rPr>
        <w:t xml:space="preserve"> </w:t>
      </w:r>
      <w:r w:rsidRPr="00DB2616">
        <w:rPr>
          <w:rFonts w:cs="Times New Roman"/>
        </w:rPr>
        <w:t>Εκλογών</w:t>
      </w:r>
      <w:r w:rsidRPr="00DB2616">
        <w:rPr>
          <w:rFonts w:cs="Times New Roman"/>
          <w:lang w:val="en-US"/>
        </w:rPr>
        <w:t>).</w:t>
      </w:r>
    </w:p>
  </w:footnote>
  <w:footnote w:id="47">
    <w:p w14:paraId="12DB4BE0" w14:textId="2505020B" w:rsidR="00382023" w:rsidRPr="00450A08" w:rsidRDefault="00382023" w:rsidP="00E00696">
      <w:pPr>
        <w:pStyle w:val="FootnoteText"/>
        <w:jc w:val="both"/>
        <w:rPr>
          <w:lang w:val="en-US"/>
        </w:rPr>
      </w:pPr>
      <w:r w:rsidRPr="00450A08">
        <w:rPr>
          <w:rStyle w:val="FootnoteReference"/>
        </w:rPr>
        <w:footnoteRef/>
      </w:r>
      <w:r w:rsidRPr="00450A08">
        <w:rPr>
          <w:lang w:val="en-US"/>
        </w:rPr>
        <w:t xml:space="preserve"> Information obtained by national and public TV channels: CYBC, SIGMA TV, MEGA CHANNEL, ANT1.</w:t>
      </w:r>
    </w:p>
  </w:footnote>
  <w:footnote w:id="48">
    <w:p w14:paraId="12DB4BE2" w14:textId="6547BF97" w:rsidR="00382023" w:rsidRPr="00450A08" w:rsidRDefault="00382023" w:rsidP="00E00696">
      <w:pPr>
        <w:pStyle w:val="FootnoteText"/>
        <w:jc w:val="both"/>
        <w:rPr>
          <w:lang w:val="en-US"/>
        </w:rPr>
      </w:pPr>
      <w:r w:rsidRPr="00450A08">
        <w:rPr>
          <w:rStyle w:val="FootnoteReference"/>
        </w:rPr>
        <w:footnoteRef/>
      </w:r>
      <w:r w:rsidRPr="00450A08">
        <w:rPr>
          <w:lang w:val="en-US"/>
        </w:rPr>
        <w:t xml:space="preserve"> Information obtained by national and public TV channels: CYBC, SIGMA TV, MEGA CHANNEL, ANT1. </w:t>
      </w:r>
    </w:p>
  </w:footnote>
  <w:footnote w:id="49">
    <w:p w14:paraId="12DB4BE5" w14:textId="45A3E36F" w:rsidR="00382023" w:rsidRPr="00450A08" w:rsidRDefault="00382023" w:rsidP="00E00696">
      <w:pPr>
        <w:pStyle w:val="FootnoteText"/>
        <w:jc w:val="both"/>
        <w:rPr>
          <w:lang w:val="en-IE"/>
        </w:rPr>
      </w:pPr>
      <w:r w:rsidRPr="00450A08">
        <w:rPr>
          <w:rStyle w:val="FootnoteReference"/>
        </w:rPr>
        <w:footnoteRef/>
      </w:r>
      <w:r w:rsidRPr="00450A08">
        <w:rPr>
          <w:lang w:val="en-US"/>
        </w:rPr>
        <w:t xml:space="preserve"> Information obtained by national and public TV channels: CYBC, SIGMA TV, MEGA CHANNEL, ANT1 and t</w:t>
      </w:r>
      <w:r w:rsidRPr="00450A08">
        <w:rPr>
          <w:rFonts w:cs="Times New Roman"/>
          <w:lang w:val="en-US"/>
        </w:rPr>
        <w:t>he Central Elections Authority (</w:t>
      </w:r>
      <w:r w:rsidRPr="00450A08">
        <w:rPr>
          <w:rFonts w:cs="Times New Roman"/>
        </w:rPr>
        <w:t>Κεντρική</w:t>
      </w:r>
      <w:r w:rsidRPr="00450A08">
        <w:rPr>
          <w:rFonts w:cs="Times New Roman"/>
          <w:lang w:val="en-US"/>
        </w:rPr>
        <w:t xml:space="preserve"> </w:t>
      </w:r>
      <w:r w:rsidRPr="00450A08">
        <w:rPr>
          <w:rFonts w:cs="Times New Roman"/>
        </w:rPr>
        <w:t>Υπηρεσία</w:t>
      </w:r>
      <w:r w:rsidRPr="00450A08">
        <w:rPr>
          <w:rFonts w:cs="Times New Roman"/>
          <w:lang w:val="en-US"/>
        </w:rPr>
        <w:t xml:space="preserve"> </w:t>
      </w:r>
      <w:r w:rsidRPr="00450A08">
        <w:rPr>
          <w:rFonts w:cs="Times New Roman"/>
        </w:rPr>
        <w:t>Εκλογών</w:t>
      </w:r>
      <w:r w:rsidRPr="00450A08">
        <w:rPr>
          <w:rFonts w:cs="Times New Roman"/>
          <w:lang w:val="en-IE"/>
        </w:rPr>
        <w:t>).</w:t>
      </w:r>
    </w:p>
  </w:footnote>
  <w:footnote w:id="50">
    <w:p w14:paraId="40A0CA7B" w14:textId="77777777" w:rsidR="00382023" w:rsidRPr="004E38DF" w:rsidRDefault="00382023" w:rsidP="00450A08">
      <w:pPr>
        <w:pStyle w:val="FootnoteText"/>
        <w:jc w:val="both"/>
        <w:rPr>
          <w:color w:val="FF0000"/>
          <w:lang w:val="en-US"/>
        </w:rPr>
      </w:pPr>
      <w:r w:rsidRPr="00450A08">
        <w:rPr>
          <w:rStyle w:val="FootnoteReference"/>
          <w:rFonts w:cs="Times New Roman"/>
        </w:rPr>
        <w:footnoteRef/>
      </w:r>
      <w:r w:rsidRPr="00450A08">
        <w:rPr>
          <w:rFonts w:cs="Times New Roman"/>
          <w:lang w:val="en-US"/>
        </w:rPr>
        <w:t xml:space="preserve"> Information obtained from the Central Elections Authority (</w:t>
      </w:r>
      <w:r w:rsidRPr="00450A08">
        <w:rPr>
          <w:rFonts w:cs="Times New Roman"/>
        </w:rPr>
        <w:t>Κεντρική</w:t>
      </w:r>
      <w:r w:rsidRPr="00450A08">
        <w:rPr>
          <w:rFonts w:cs="Times New Roman"/>
          <w:lang w:val="en-US"/>
        </w:rPr>
        <w:t xml:space="preserve"> </w:t>
      </w:r>
      <w:r w:rsidRPr="00450A08">
        <w:rPr>
          <w:rFonts w:cs="Times New Roman"/>
        </w:rPr>
        <w:t>Υπηρεσία</w:t>
      </w:r>
      <w:r w:rsidRPr="00450A08">
        <w:rPr>
          <w:rFonts w:cs="Times New Roman"/>
          <w:lang w:val="en-US"/>
        </w:rPr>
        <w:t xml:space="preserve"> </w:t>
      </w:r>
      <w:r w:rsidRPr="00450A08">
        <w:rPr>
          <w:rFonts w:cs="Times New Roman"/>
        </w:rPr>
        <w:t>Εκλογών</w:t>
      </w:r>
      <w:r w:rsidRPr="00450A08">
        <w:rPr>
          <w:rFonts w:cs="Times New Roman"/>
          <w:lang w:val="en-US"/>
        </w:rPr>
        <w:t xml:space="preserve">) and from </w:t>
      </w:r>
      <w:r w:rsidRPr="00450A08">
        <w:rPr>
          <w:lang w:val="en-US"/>
        </w:rPr>
        <w:t>the political parties: DISY - Democratic Rally of Cyprus (</w:t>
      </w:r>
      <w:r w:rsidRPr="00450A08">
        <w:t>Δημοκρατικός</w:t>
      </w:r>
      <w:r w:rsidRPr="00450A08">
        <w:rPr>
          <w:lang w:val="en-US"/>
        </w:rPr>
        <w:t xml:space="preserve"> </w:t>
      </w:r>
      <w:r w:rsidRPr="00450A08">
        <w:t>Συναγερμός</w:t>
      </w:r>
      <w:r w:rsidRPr="00450A08">
        <w:rPr>
          <w:lang w:val="en-US"/>
        </w:rPr>
        <w:t>), DHKO - Democratic Party (</w:t>
      </w:r>
      <w:r w:rsidRPr="00450A08">
        <w:t>Δημοκρατικό</w:t>
      </w:r>
      <w:r w:rsidRPr="00450A08">
        <w:rPr>
          <w:lang w:val="en-US"/>
        </w:rPr>
        <w:t xml:space="preserve"> </w:t>
      </w:r>
      <w:r w:rsidRPr="00450A08">
        <w:t>Κόμμα</w:t>
      </w:r>
      <w:r w:rsidRPr="00450A08">
        <w:rPr>
          <w:lang w:val="en-US"/>
        </w:rPr>
        <w:t>) and AKEL – Progressive Party for the Working People (</w:t>
      </w:r>
      <w:r w:rsidRPr="00450A08">
        <w:t>Ανορθωτικό</w:t>
      </w:r>
      <w:r w:rsidRPr="00450A08">
        <w:rPr>
          <w:lang w:val="en-US"/>
        </w:rPr>
        <w:t xml:space="preserve"> </w:t>
      </w:r>
      <w:r w:rsidRPr="00450A08">
        <w:t>Κόμμα</w:t>
      </w:r>
      <w:r w:rsidRPr="00450A08">
        <w:rPr>
          <w:lang w:val="en-US"/>
        </w:rPr>
        <w:t xml:space="preserve"> </w:t>
      </w:r>
      <w:r w:rsidRPr="00450A08">
        <w:t>Εργαζόμενου</w:t>
      </w:r>
      <w:r w:rsidRPr="00450A08">
        <w:rPr>
          <w:lang w:val="en-US"/>
        </w:rPr>
        <w:t xml:space="preserve"> </w:t>
      </w:r>
      <w:r w:rsidRPr="00450A08">
        <w:t>Λαού</w:t>
      </w:r>
      <w:r w:rsidRPr="00450A08">
        <w:rPr>
          <w:lang w:val="en-US"/>
        </w:rPr>
        <w:t>).</w:t>
      </w:r>
    </w:p>
  </w:footnote>
  <w:footnote w:id="51">
    <w:p w14:paraId="12DB4BE9" w14:textId="1A666A00" w:rsidR="00382023" w:rsidRPr="00450A08" w:rsidRDefault="00382023" w:rsidP="00E00696">
      <w:pPr>
        <w:pStyle w:val="FootnoteText"/>
        <w:jc w:val="both"/>
        <w:rPr>
          <w:rFonts w:cs="Times New Roman"/>
          <w:lang w:val="en-GB"/>
        </w:rPr>
      </w:pPr>
      <w:r w:rsidRPr="00450A08">
        <w:rPr>
          <w:rStyle w:val="FootnoteReference"/>
          <w:rFonts w:cs="Times New Roman"/>
        </w:rPr>
        <w:footnoteRef/>
      </w:r>
      <w:r w:rsidRPr="00450A08">
        <w:rPr>
          <w:rFonts w:cs="Times New Roman"/>
          <w:lang w:val="en-US"/>
        </w:rPr>
        <w:t xml:space="preserve"> Information obtained from the </w:t>
      </w:r>
      <w:r w:rsidRPr="00450A08">
        <w:rPr>
          <w:rFonts w:eastAsia="Calibri" w:cs="Times New Roman"/>
          <w:lang w:val="en-GB"/>
        </w:rPr>
        <w:t>Department for Social Inclusion of persons with disabilities, (</w:t>
      </w:r>
      <w:proofErr w:type="spellStart"/>
      <w:r w:rsidRPr="00450A08">
        <w:rPr>
          <w:rFonts w:eastAsia="Calibri" w:cs="Times New Roman"/>
          <w:lang w:val="en-GB"/>
        </w:rPr>
        <w:t>Τμήμ</w:t>
      </w:r>
      <w:proofErr w:type="spellEnd"/>
      <w:r w:rsidRPr="00450A08">
        <w:rPr>
          <w:rFonts w:eastAsia="Calibri" w:cs="Times New Roman"/>
          <w:lang w:val="en-GB"/>
        </w:rPr>
        <w:t xml:space="preserve">α </w:t>
      </w:r>
      <w:proofErr w:type="spellStart"/>
      <w:r w:rsidRPr="00450A08">
        <w:rPr>
          <w:rFonts w:eastAsia="Calibri" w:cs="Times New Roman"/>
          <w:lang w:val="en-GB"/>
        </w:rPr>
        <w:t>Κοινωνικής</w:t>
      </w:r>
      <w:proofErr w:type="spellEnd"/>
      <w:r w:rsidRPr="00450A08">
        <w:rPr>
          <w:rFonts w:eastAsia="Calibri" w:cs="Times New Roman"/>
          <w:lang w:val="en-GB"/>
        </w:rPr>
        <w:t xml:space="preserve"> </w:t>
      </w:r>
      <w:proofErr w:type="spellStart"/>
      <w:r w:rsidRPr="00450A08">
        <w:rPr>
          <w:rFonts w:eastAsia="Calibri" w:cs="Times New Roman"/>
          <w:lang w:val="en-GB"/>
        </w:rPr>
        <w:t>Ενσωμάτωσης</w:t>
      </w:r>
      <w:proofErr w:type="spellEnd"/>
      <w:r w:rsidRPr="00450A08">
        <w:rPr>
          <w:rFonts w:eastAsia="Calibri" w:cs="Times New Roman"/>
          <w:lang w:val="en-GB"/>
        </w:rPr>
        <w:t xml:space="preserve"> </w:t>
      </w:r>
      <w:proofErr w:type="spellStart"/>
      <w:r w:rsidRPr="00450A08">
        <w:rPr>
          <w:rFonts w:eastAsia="Calibri" w:cs="Times New Roman"/>
          <w:lang w:val="en-GB"/>
        </w:rPr>
        <w:t>Ατόμων</w:t>
      </w:r>
      <w:proofErr w:type="spellEnd"/>
      <w:r w:rsidRPr="00450A08">
        <w:rPr>
          <w:rFonts w:eastAsia="Calibri" w:cs="Times New Roman"/>
          <w:lang w:val="en-GB"/>
        </w:rPr>
        <w:t xml:space="preserve"> </w:t>
      </w:r>
      <w:proofErr w:type="spellStart"/>
      <w:r w:rsidRPr="00450A08">
        <w:rPr>
          <w:rFonts w:eastAsia="Calibri" w:cs="Times New Roman"/>
          <w:lang w:val="en-GB"/>
        </w:rPr>
        <w:t>με</w:t>
      </w:r>
      <w:proofErr w:type="spellEnd"/>
      <w:r w:rsidRPr="00450A08">
        <w:rPr>
          <w:rFonts w:eastAsia="Calibri" w:cs="Times New Roman"/>
          <w:lang w:val="en-GB"/>
        </w:rPr>
        <w:t xml:space="preserve"> </w:t>
      </w:r>
      <w:proofErr w:type="spellStart"/>
      <w:r w:rsidRPr="00450A08">
        <w:rPr>
          <w:rFonts w:eastAsia="Calibri" w:cs="Times New Roman"/>
          <w:lang w:val="en-GB"/>
        </w:rPr>
        <w:t>Αν</w:t>
      </w:r>
      <w:proofErr w:type="spellEnd"/>
      <w:r w:rsidRPr="00450A08">
        <w:rPr>
          <w:rFonts w:eastAsia="Calibri" w:cs="Times New Roman"/>
          <w:lang w:val="en-GB"/>
        </w:rPr>
        <w:t>απηρίες).</w:t>
      </w:r>
    </w:p>
  </w:footnote>
  <w:footnote w:id="52">
    <w:p w14:paraId="12DB4BEA" w14:textId="77777777" w:rsidR="00382023" w:rsidRPr="00450A08" w:rsidRDefault="00382023" w:rsidP="00E00696">
      <w:pPr>
        <w:pStyle w:val="FootnoteText"/>
        <w:jc w:val="both"/>
        <w:rPr>
          <w:lang w:val="en-GB"/>
        </w:rPr>
      </w:pPr>
      <w:r w:rsidRPr="00450A08">
        <w:rPr>
          <w:rStyle w:val="FootnoteReference"/>
        </w:rPr>
        <w:footnoteRef/>
      </w:r>
      <w:r w:rsidRPr="00450A08">
        <w:rPr>
          <w:lang w:val="en-US"/>
        </w:rPr>
        <w:t xml:space="preserve"> </w:t>
      </w:r>
      <w:proofErr w:type="gramStart"/>
      <w:r w:rsidRPr="00450A08">
        <w:rPr>
          <w:lang w:val="en-US"/>
        </w:rPr>
        <w:t>Cyprus, Regulation 61H “Use of buildings by disabled persons” (K.</w:t>
      </w:r>
      <w:r w:rsidRPr="00450A08">
        <w:t>Δ</w:t>
      </w:r>
      <w:r w:rsidRPr="00450A08">
        <w:rPr>
          <w:lang w:val="en-US"/>
        </w:rPr>
        <w:t>.</w:t>
      </w:r>
      <w:r w:rsidRPr="00450A08">
        <w:t>Π</w:t>
      </w:r>
      <w:r w:rsidRPr="00450A08">
        <w:rPr>
          <w:lang w:val="en-US"/>
        </w:rPr>
        <w:t>. 86/99) of the “Streets and Buildings Law” of 1999, (</w:t>
      </w:r>
      <w:r w:rsidRPr="00450A08">
        <w:t>Κανονισμός</w:t>
      </w:r>
      <w:r w:rsidRPr="00450A08">
        <w:rPr>
          <w:lang w:val="en-GB"/>
        </w:rPr>
        <w:t xml:space="preserve"> </w:t>
      </w:r>
      <w:r w:rsidRPr="00450A08">
        <w:rPr>
          <w:lang w:val="en-US"/>
        </w:rPr>
        <w:t xml:space="preserve">61.H </w:t>
      </w:r>
      <w:proofErr w:type="spellStart"/>
      <w:r w:rsidRPr="00450A08">
        <w:rPr>
          <w:lang w:val="en-US"/>
        </w:rPr>
        <w:t>του</w:t>
      </w:r>
      <w:proofErr w:type="spellEnd"/>
      <w:r w:rsidRPr="00450A08">
        <w:rPr>
          <w:lang w:val="en-US"/>
        </w:rPr>
        <w:t xml:space="preserve"> </w:t>
      </w:r>
      <w:proofErr w:type="spellStart"/>
      <w:r w:rsidRPr="00450A08">
        <w:rPr>
          <w:lang w:val="en-US"/>
        </w:rPr>
        <w:t>Περί</w:t>
      </w:r>
      <w:proofErr w:type="spellEnd"/>
      <w:r w:rsidRPr="00450A08">
        <w:rPr>
          <w:lang w:val="en-US"/>
        </w:rPr>
        <w:t xml:space="preserve"> </w:t>
      </w:r>
      <w:proofErr w:type="spellStart"/>
      <w:r w:rsidRPr="00450A08">
        <w:rPr>
          <w:lang w:val="en-US"/>
        </w:rPr>
        <w:t>Οδών</w:t>
      </w:r>
      <w:proofErr w:type="spellEnd"/>
      <w:r w:rsidRPr="00450A08">
        <w:rPr>
          <w:lang w:val="en-US"/>
        </w:rPr>
        <w:t xml:space="preserve"> και </w:t>
      </w:r>
      <w:proofErr w:type="spellStart"/>
      <w:r w:rsidRPr="00450A08">
        <w:rPr>
          <w:lang w:val="en-US"/>
        </w:rPr>
        <w:t>Οικοδομών</w:t>
      </w:r>
      <w:proofErr w:type="spellEnd"/>
      <w:r w:rsidRPr="00450A08">
        <w:rPr>
          <w:lang w:val="en-US"/>
        </w:rPr>
        <w:t xml:space="preserve"> </w:t>
      </w:r>
      <w:proofErr w:type="spellStart"/>
      <w:r w:rsidRPr="00450A08">
        <w:rPr>
          <w:lang w:val="en-US"/>
        </w:rPr>
        <w:t>Νόμου</w:t>
      </w:r>
      <w:proofErr w:type="spellEnd"/>
      <w:r w:rsidRPr="00450A08">
        <w:rPr>
          <w:lang w:val="en-US"/>
        </w:rPr>
        <w:t xml:space="preserve"> </w:t>
      </w:r>
      <w:proofErr w:type="spellStart"/>
      <w:r w:rsidRPr="00450A08">
        <w:rPr>
          <w:lang w:val="en-US"/>
        </w:rPr>
        <w:t>γι</w:t>
      </w:r>
      <w:proofErr w:type="spellEnd"/>
      <w:r w:rsidRPr="00450A08">
        <w:rPr>
          <w:lang w:val="en-US"/>
        </w:rPr>
        <w:t xml:space="preserve">α </w:t>
      </w:r>
      <w:proofErr w:type="spellStart"/>
      <w:r w:rsidRPr="00450A08">
        <w:rPr>
          <w:lang w:val="en-US"/>
        </w:rPr>
        <w:t>την</w:t>
      </w:r>
      <w:proofErr w:type="spellEnd"/>
      <w:r w:rsidRPr="00450A08">
        <w:rPr>
          <w:lang w:val="en-US"/>
        </w:rPr>
        <w:t xml:space="preserve"> </w:t>
      </w:r>
      <w:proofErr w:type="spellStart"/>
      <w:r w:rsidRPr="00450A08">
        <w:rPr>
          <w:lang w:val="en-US"/>
        </w:rPr>
        <w:t>χρήση</w:t>
      </w:r>
      <w:proofErr w:type="spellEnd"/>
      <w:r w:rsidRPr="00450A08">
        <w:rPr>
          <w:lang w:val="en-US"/>
        </w:rPr>
        <w:t xml:space="preserve"> </w:t>
      </w:r>
      <w:proofErr w:type="spellStart"/>
      <w:r w:rsidRPr="00450A08">
        <w:rPr>
          <w:lang w:val="en-US"/>
        </w:rPr>
        <w:t>κτηρίων</w:t>
      </w:r>
      <w:proofErr w:type="spellEnd"/>
      <w:r w:rsidRPr="00450A08">
        <w:rPr>
          <w:lang w:val="en-US"/>
        </w:rPr>
        <w:t xml:space="preserve"> από α</w:t>
      </w:r>
      <w:proofErr w:type="spellStart"/>
      <w:r w:rsidRPr="00450A08">
        <w:rPr>
          <w:lang w:val="en-US"/>
        </w:rPr>
        <w:t>νά</w:t>
      </w:r>
      <w:proofErr w:type="spellEnd"/>
      <w:r w:rsidRPr="00450A08">
        <w:rPr>
          <w:lang w:val="en-US"/>
        </w:rPr>
        <w:t>πηρα π</w:t>
      </w:r>
      <w:proofErr w:type="spellStart"/>
      <w:r w:rsidRPr="00450A08">
        <w:rPr>
          <w:lang w:val="en-US"/>
        </w:rPr>
        <w:t>ρόσω</w:t>
      </w:r>
      <w:proofErr w:type="spellEnd"/>
      <w:r w:rsidRPr="00450A08">
        <w:rPr>
          <w:lang w:val="en-US"/>
        </w:rPr>
        <w:t>πα</w:t>
      </w:r>
      <w:r w:rsidRPr="00450A08">
        <w:rPr>
          <w:lang w:val="en-GB"/>
        </w:rPr>
        <w:t>).</w:t>
      </w:r>
      <w:proofErr w:type="gramEnd"/>
    </w:p>
  </w:footnote>
  <w:footnote w:id="53">
    <w:p w14:paraId="61BFA3A6" w14:textId="69BAE3E7" w:rsidR="00382023" w:rsidRPr="00450A08" w:rsidRDefault="00382023" w:rsidP="00450A08">
      <w:pPr>
        <w:pStyle w:val="FootnoteText"/>
        <w:jc w:val="both"/>
        <w:rPr>
          <w:lang w:val="en-US"/>
        </w:rPr>
      </w:pPr>
      <w:r w:rsidRPr="00450A08">
        <w:rPr>
          <w:rStyle w:val="FootnoteReference"/>
          <w:rFonts w:cs="Times New Roman"/>
        </w:rPr>
        <w:footnoteRef/>
      </w:r>
      <w:r w:rsidRPr="00450A08">
        <w:rPr>
          <w:rFonts w:cs="Times New Roman"/>
          <w:lang w:val="en-US"/>
        </w:rPr>
        <w:t xml:space="preserve"> Information obtained from the Ombudsman’s Office (</w:t>
      </w:r>
      <w:r w:rsidRPr="00450A08">
        <w:rPr>
          <w:rFonts w:cs="Times New Roman"/>
        </w:rPr>
        <w:t>Γραφείο</w:t>
      </w:r>
      <w:r w:rsidRPr="00450A08">
        <w:rPr>
          <w:rFonts w:cs="Times New Roman"/>
          <w:lang w:val="en-US"/>
        </w:rPr>
        <w:t xml:space="preserve"> </w:t>
      </w:r>
      <w:r w:rsidRPr="00450A08">
        <w:rPr>
          <w:rFonts w:cs="Times New Roman"/>
        </w:rPr>
        <w:t>Επιτρόπου</w:t>
      </w:r>
      <w:r w:rsidRPr="00450A08">
        <w:rPr>
          <w:rFonts w:cs="Times New Roman"/>
          <w:lang w:val="en-US"/>
        </w:rPr>
        <w:t xml:space="preserve"> </w:t>
      </w:r>
      <w:r w:rsidRPr="00450A08">
        <w:rPr>
          <w:rFonts w:cs="Times New Roman"/>
        </w:rPr>
        <w:t>Διοικήσεως</w:t>
      </w:r>
      <w:r w:rsidRPr="00450A08">
        <w:rPr>
          <w:rFonts w:cs="Times New Roman"/>
          <w:lang w:val="en-US"/>
        </w:rPr>
        <w:t>) and the Central Elections Authority (</w:t>
      </w:r>
      <w:r w:rsidRPr="00450A08">
        <w:rPr>
          <w:rFonts w:cs="Times New Roman"/>
        </w:rPr>
        <w:t>Κεντρική</w:t>
      </w:r>
      <w:r w:rsidRPr="00450A08">
        <w:rPr>
          <w:rFonts w:cs="Times New Roman"/>
          <w:lang w:val="en-US"/>
        </w:rPr>
        <w:t xml:space="preserve"> </w:t>
      </w:r>
      <w:r w:rsidRPr="00450A08">
        <w:rPr>
          <w:rFonts w:cs="Times New Roman"/>
        </w:rPr>
        <w:t>Υπηρεσία</w:t>
      </w:r>
      <w:r w:rsidRPr="00450A08">
        <w:rPr>
          <w:rFonts w:cs="Times New Roman"/>
          <w:lang w:val="en-US"/>
        </w:rPr>
        <w:t xml:space="preserve"> </w:t>
      </w:r>
      <w:r w:rsidRPr="00450A08">
        <w:rPr>
          <w:rFonts w:cs="Times New Roman"/>
        </w:rPr>
        <w:t>Εκλογών</w:t>
      </w:r>
      <w:r w:rsidRPr="00450A08">
        <w:rPr>
          <w:rFonts w:cs="Times New Roman"/>
          <w:lang w:val="en-US"/>
        </w:rPr>
        <w:t>).</w:t>
      </w:r>
    </w:p>
    <w:p w14:paraId="12DB4BEC" w14:textId="6AD0A7BB" w:rsidR="00382023" w:rsidRPr="004E38DF" w:rsidRDefault="00382023" w:rsidP="00E00696">
      <w:pPr>
        <w:pStyle w:val="FootnoteText"/>
        <w:jc w:val="both"/>
        <w:rPr>
          <w:rFonts w:cs="Times New Roman"/>
          <w:color w:val="FF0000"/>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B4BB6" w14:textId="60A5AA9F" w:rsidR="009F5F0C" w:rsidRPr="00B9349A" w:rsidRDefault="004E38DF" w:rsidP="0081459C">
    <w:pPr>
      <w:pStyle w:val="Header"/>
      <w:jc w:val="right"/>
      <w:rPr>
        <w:rFonts w:ascii="Arial Narrow" w:hAnsi="Arial Narrow"/>
        <w:lang w:val="en-US"/>
      </w:rPr>
    </w:pPr>
    <w:r>
      <w:rPr>
        <w:rFonts w:ascii="Arial Narrow" w:hAnsi="Arial Narrow"/>
        <w:sz w:val="20"/>
        <w:szCs w:val="20"/>
        <w:lang w:val="en-US"/>
      </w:rPr>
      <w:t>Background country information</w:t>
    </w:r>
    <w:r w:rsidR="009F5F0C" w:rsidRPr="00B9349A">
      <w:rPr>
        <w:rFonts w:ascii="Arial Narrow" w:hAnsi="Arial Narrow"/>
        <w:sz w:val="20"/>
        <w:szCs w:val="20"/>
        <w:lang w:val="en-US"/>
      </w:rPr>
      <w:t>: Political participation of persons with disabilities</w:t>
    </w:r>
  </w:p>
  <w:p w14:paraId="12DB4BB7" w14:textId="77777777" w:rsidR="009F5F0C" w:rsidRPr="00B9349A" w:rsidRDefault="009F5F0C">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071D"/>
    <w:multiLevelType w:val="hybridMultilevel"/>
    <w:tmpl w:val="0CA8DB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F7A6B2B"/>
    <w:multiLevelType w:val="hybridMultilevel"/>
    <w:tmpl w:val="1C680590"/>
    <w:lvl w:ilvl="0" w:tplc="C2888F5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5D70951"/>
    <w:multiLevelType w:val="hybridMultilevel"/>
    <w:tmpl w:val="2576994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E3E679C"/>
    <w:multiLevelType w:val="hybridMultilevel"/>
    <w:tmpl w:val="4C4EE5C8"/>
    <w:lvl w:ilvl="0" w:tplc="A6860360">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27186E0E"/>
    <w:multiLevelType w:val="hybridMultilevel"/>
    <w:tmpl w:val="2E527D10"/>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282C64E9"/>
    <w:multiLevelType w:val="hybridMultilevel"/>
    <w:tmpl w:val="33A831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8807691"/>
    <w:multiLevelType w:val="hybridMultilevel"/>
    <w:tmpl w:val="27CE7D6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3267466B"/>
    <w:multiLevelType w:val="hybridMultilevel"/>
    <w:tmpl w:val="D7D6EC3C"/>
    <w:lvl w:ilvl="0" w:tplc="777C5950">
      <w:start w:val="1"/>
      <w:numFmt w:val="upperRoman"/>
      <w:lvlText w:val="%1."/>
      <w:lvlJc w:val="right"/>
      <w:pPr>
        <w:ind w:left="720" w:hanging="360"/>
      </w:pPr>
      <w:rPr>
        <w:rFonts w:ascii="Times New Roman" w:hAnsi="Times New Roman" w:cs="Times New Roman" w:hint="default"/>
        <w:i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3D871BE3"/>
    <w:multiLevelType w:val="hybridMultilevel"/>
    <w:tmpl w:val="94F05BEE"/>
    <w:lvl w:ilvl="0" w:tplc="77C8A004">
      <w:numFmt w:val="bullet"/>
      <w:lvlText w:val="-"/>
      <w:lvlJc w:val="left"/>
      <w:pPr>
        <w:ind w:left="1570" w:hanging="360"/>
      </w:pPr>
      <w:rPr>
        <w:rFonts w:ascii="Arial Narrow" w:eastAsia="Calibri" w:hAnsi="Arial Narrow" w:cs="Times New Roman" w:hint="default"/>
      </w:rPr>
    </w:lvl>
    <w:lvl w:ilvl="1" w:tplc="08130003">
      <w:start w:val="1"/>
      <w:numFmt w:val="bullet"/>
      <w:lvlText w:val="o"/>
      <w:lvlJc w:val="left"/>
      <w:pPr>
        <w:ind w:left="2290" w:hanging="360"/>
      </w:pPr>
      <w:rPr>
        <w:rFonts w:ascii="Courier New" w:hAnsi="Courier New" w:cs="Courier New" w:hint="default"/>
      </w:rPr>
    </w:lvl>
    <w:lvl w:ilvl="2" w:tplc="08130005">
      <w:start w:val="1"/>
      <w:numFmt w:val="bullet"/>
      <w:lvlText w:val=""/>
      <w:lvlJc w:val="left"/>
      <w:pPr>
        <w:ind w:left="3010" w:hanging="360"/>
      </w:pPr>
      <w:rPr>
        <w:rFonts w:ascii="Wingdings" w:hAnsi="Wingdings" w:hint="default"/>
      </w:rPr>
    </w:lvl>
    <w:lvl w:ilvl="3" w:tplc="08130001">
      <w:start w:val="1"/>
      <w:numFmt w:val="bullet"/>
      <w:lvlText w:val=""/>
      <w:lvlJc w:val="left"/>
      <w:pPr>
        <w:ind w:left="3730" w:hanging="360"/>
      </w:pPr>
      <w:rPr>
        <w:rFonts w:ascii="Symbol" w:hAnsi="Symbol" w:hint="default"/>
      </w:rPr>
    </w:lvl>
    <w:lvl w:ilvl="4" w:tplc="08130003">
      <w:start w:val="1"/>
      <w:numFmt w:val="bullet"/>
      <w:lvlText w:val="o"/>
      <w:lvlJc w:val="left"/>
      <w:pPr>
        <w:ind w:left="4450" w:hanging="360"/>
      </w:pPr>
      <w:rPr>
        <w:rFonts w:ascii="Courier New" w:hAnsi="Courier New" w:cs="Courier New" w:hint="default"/>
      </w:rPr>
    </w:lvl>
    <w:lvl w:ilvl="5" w:tplc="08130005">
      <w:start w:val="1"/>
      <w:numFmt w:val="bullet"/>
      <w:lvlText w:val=""/>
      <w:lvlJc w:val="left"/>
      <w:pPr>
        <w:ind w:left="5170" w:hanging="360"/>
      </w:pPr>
      <w:rPr>
        <w:rFonts w:ascii="Wingdings" w:hAnsi="Wingdings" w:hint="default"/>
      </w:rPr>
    </w:lvl>
    <w:lvl w:ilvl="6" w:tplc="08130001">
      <w:start w:val="1"/>
      <w:numFmt w:val="bullet"/>
      <w:lvlText w:val=""/>
      <w:lvlJc w:val="left"/>
      <w:pPr>
        <w:ind w:left="5890" w:hanging="360"/>
      </w:pPr>
      <w:rPr>
        <w:rFonts w:ascii="Symbol" w:hAnsi="Symbol" w:hint="default"/>
      </w:rPr>
    </w:lvl>
    <w:lvl w:ilvl="7" w:tplc="08130003">
      <w:start w:val="1"/>
      <w:numFmt w:val="bullet"/>
      <w:lvlText w:val="o"/>
      <w:lvlJc w:val="left"/>
      <w:pPr>
        <w:ind w:left="6610" w:hanging="360"/>
      </w:pPr>
      <w:rPr>
        <w:rFonts w:ascii="Courier New" w:hAnsi="Courier New" w:cs="Courier New" w:hint="default"/>
      </w:rPr>
    </w:lvl>
    <w:lvl w:ilvl="8" w:tplc="08130005">
      <w:start w:val="1"/>
      <w:numFmt w:val="bullet"/>
      <w:lvlText w:val=""/>
      <w:lvlJc w:val="left"/>
      <w:pPr>
        <w:ind w:left="7330" w:hanging="360"/>
      </w:pPr>
      <w:rPr>
        <w:rFonts w:ascii="Wingdings" w:hAnsi="Wingdings" w:hint="default"/>
      </w:rPr>
    </w:lvl>
  </w:abstractNum>
  <w:abstractNum w:abstractNumId="9">
    <w:nsid w:val="4CD60218"/>
    <w:multiLevelType w:val="hybridMultilevel"/>
    <w:tmpl w:val="A9580A54"/>
    <w:lvl w:ilvl="0" w:tplc="75744EF0">
      <w:start w:val="1"/>
      <w:numFmt w:val="decimal"/>
      <w:lvlText w:val="%1."/>
      <w:lvlJc w:val="left"/>
      <w:pPr>
        <w:ind w:left="720" w:hanging="360"/>
      </w:pPr>
      <w:rPr>
        <w:rFonts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5BD24A14"/>
    <w:multiLevelType w:val="hybridMultilevel"/>
    <w:tmpl w:val="9A32D7A2"/>
    <w:lvl w:ilvl="0" w:tplc="FFFFFFFF">
      <w:start w:val="1"/>
      <w:numFmt w:val="decimal"/>
      <w:pStyle w:val="FRABodyText"/>
      <w:lvlText w:val="[%1]."/>
      <w:lvlJc w:val="left"/>
      <w:pPr>
        <w:tabs>
          <w:tab w:val="num" w:pos="961"/>
        </w:tabs>
        <w:ind w:left="961" w:hanging="851"/>
      </w:pPr>
      <w:rPr>
        <w:rFonts w:hint="default"/>
        <w:b w:val="0"/>
      </w:rPr>
    </w:lvl>
    <w:lvl w:ilvl="1" w:tplc="FFFFFFFF">
      <w:start w:val="1"/>
      <w:numFmt w:val="bullet"/>
      <w:lvlText w:val=""/>
      <w:lvlJc w:val="left"/>
      <w:pPr>
        <w:tabs>
          <w:tab w:val="num" w:pos="1647"/>
        </w:tabs>
        <w:ind w:left="1647" w:hanging="567"/>
      </w:pPr>
      <w:rPr>
        <w:rFonts w:ascii="Symbol" w:hAnsi="Symbol" w:hint="default"/>
        <w:sz w:val="24"/>
        <w:szCs w:val="24"/>
      </w:rPr>
    </w:lvl>
    <w:lvl w:ilvl="2" w:tplc="FFFFFFFF">
      <w:start w:val="1"/>
      <w:numFmt w:val="decimal"/>
      <w:lvlText w:val="%3."/>
      <w:lvlJc w:val="left"/>
      <w:pPr>
        <w:tabs>
          <w:tab w:val="num" w:pos="2340"/>
        </w:tabs>
        <w:ind w:left="2340" w:hanging="360"/>
      </w:pPr>
      <w:rPr>
        <w:rFonts w:hint="default"/>
      </w:rPr>
    </w:lvl>
    <w:lvl w:ilvl="3" w:tplc="FFFFFFFF">
      <w:numFmt w:val="bullet"/>
      <w:lvlText w:val="-"/>
      <w:lvlJc w:val="left"/>
      <w:pPr>
        <w:tabs>
          <w:tab w:val="num" w:pos="2880"/>
        </w:tabs>
        <w:ind w:left="2880" w:hanging="360"/>
      </w:pPr>
      <w:rPr>
        <w:rFonts w:ascii="Arial" w:eastAsia="Calibri" w:hAnsi="Arial" w:cs="Aria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5BF475BB"/>
    <w:multiLevelType w:val="hybridMultilevel"/>
    <w:tmpl w:val="D6C27F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283B5D"/>
    <w:multiLevelType w:val="hybridMultilevel"/>
    <w:tmpl w:val="291693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754F1712"/>
    <w:multiLevelType w:val="hybridMultilevel"/>
    <w:tmpl w:val="9C2A81BE"/>
    <w:lvl w:ilvl="0" w:tplc="AF10A3C8">
      <w:start w:val="1"/>
      <w:numFmt w:val="upperRoman"/>
      <w:lvlText w:val="%1."/>
      <w:lvlJc w:val="left"/>
      <w:pPr>
        <w:ind w:left="1080" w:hanging="72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76FD283A"/>
    <w:multiLevelType w:val="hybridMultilevel"/>
    <w:tmpl w:val="2F4A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6"/>
  </w:num>
  <w:num w:numId="4">
    <w:abstractNumId w:val="9"/>
  </w:num>
  <w:num w:numId="5">
    <w:abstractNumId w:val="3"/>
  </w:num>
  <w:num w:numId="6">
    <w:abstractNumId w:val="13"/>
  </w:num>
  <w:num w:numId="7">
    <w:abstractNumId w:val="10"/>
  </w:num>
  <w:num w:numId="8">
    <w:abstractNumId w:val="0"/>
  </w:num>
  <w:num w:numId="9">
    <w:abstractNumId w:val="8"/>
  </w:num>
  <w:num w:numId="10">
    <w:abstractNumId w:val="1"/>
  </w:num>
  <w:num w:numId="11">
    <w:abstractNumId w:val="5"/>
  </w:num>
  <w:num w:numId="12">
    <w:abstractNumId w:val="4"/>
  </w:num>
  <w:num w:numId="13">
    <w:abstractNumId w:val="11"/>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D63"/>
    <w:rsid w:val="0000356C"/>
    <w:rsid w:val="00011DA4"/>
    <w:rsid w:val="00013D13"/>
    <w:rsid w:val="00014FD2"/>
    <w:rsid w:val="0002367B"/>
    <w:rsid w:val="00036F64"/>
    <w:rsid w:val="00043C22"/>
    <w:rsid w:val="00045B78"/>
    <w:rsid w:val="00060B4E"/>
    <w:rsid w:val="00070613"/>
    <w:rsid w:val="000707E5"/>
    <w:rsid w:val="000709EE"/>
    <w:rsid w:val="00074027"/>
    <w:rsid w:val="00074A0E"/>
    <w:rsid w:val="00091F30"/>
    <w:rsid w:val="000A4ACD"/>
    <w:rsid w:val="000A5CB7"/>
    <w:rsid w:val="000B42DF"/>
    <w:rsid w:val="000B4A08"/>
    <w:rsid w:val="000C578B"/>
    <w:rsid w:val="000D079F"/>
    <w:rsid w:val="000E0C0D"/>
    <w:rsid w:val="000E7FFB"/>
    <w:rsid w:val="000F44B7"/>
    <w:rsid w:val="0010530F"/>
    <w:rsid w:val="001061E8"/>
    <w:rsid w:val="0011784B"/>
    <w:rsid w:val="00130E8A"/>
    <w:rsid w:val="0013696F"/>
    <w:rsid w:val="00141E9A"/>
    <w:rsid w:val="0014406C"/>
    <w:rsid w:val="0014744F"/>
    <w:rsid w:val="001541FB"/>
    <w:rsid w:val="00155FD6"/>
    <w:rsid w:val="001560EC"/>
    <w:rsid w:val="001566BE"/>
    <w:rsid w:val="0015706F"/>
    <w:rsid w:val="00160C6B"/>
    <w:rsid w:val="00172B1F"/>
    <w:rsid w:val="0018073B"/>
    <w:rsid w:val="00192053"/>
    <w:rsid w:val="0019208F"/>
    <w:rsid w:val="00195927"/>
    <w:rsid w:val="001961D1"/>
    <w:rsid w:val="00197E60"/>
    <w:rsid w:val="001A2638"/>
    <w:rsid w:val="001A6990"/>
    <w:rsid w:val="001B72E0"/>
    <w:rsid w:val="001C481A"/>
    <w:rsid w:val="001D4096"/>
    <w:rsid w:val="001E075F"/>
    <w:rsid w:val="001E263C"/>
    <w:rsid w:val="001F122D"/>
    <w:rsid w:val="001F2369"/>
    <w:rsid w:val="00201D6E"/>
    <w:rsid w:val="00225B23"/>
    <w:rsid w:val="00226D0E"/>
    <w:rsid w:val="00226EE2"/>
    <w:rsid w:val="00232F36"/>
    <w:rsid w:val="0024291D"/>
    <w:rsid w:val="00246C8F"/>
    <w:rsid w:val="00250971"/>
    <w:rsid w:val="00251FC3"/>
    <w:rsid w:val="00253949"/>
    <w:rsid w:val="00255A55"/>
    <w:rsid w:val="00272D92"/>
    <w:rsid w:val="0027727A"/>
    <w:rsid w:val="0028072B"/>
    <w:rsid w:val="002922EA"/>
    <w:rsid w:val="0029553E"/>
    <w:rsid w:val="00295B6D"/>
    <w:rsid w:val="00297135"/>
    <w:rsid w:val="002A0B45"/>
    <w:rsid w:val="002A6010"/>
    <w:rsid w:val="002A7250"/>
    <w:rsid w:val="002B57F4"/>
    <w:rsid w:val="002B63E2"/>
    <w:rsid w:val="002C0BF2"/>
    <w:rsid w:val="002D11D2"/>
    <w:rsid w:val="002D29A8"/>
    <w:rsid w:val="002D7BBA"/>
    <w:rsid w:val="002E5433"/>
    <w:rsid w:val="002E6279"/>
    <w:rsid w:val="003138A7"/>
    <w:rsid w:val="00321045"/>
    <w:rsid w:val="00330A80"/>
    <w:rsid w:val="00334C40"/>
    <w:rsid w:val="0034057A"/>
    <w:rsid w:val="00346931"/>
    <w:rsid w:val="003538FA"/>
    <w:rsid w:val="00353A55"/>
    <w:rsid w:val="0035771D"/>
    <w:rsid w:val="003657B8"/>
    <w:rsid w:val="00380A93"/>
    <w:rsid w:val="00382023"/>
    <w:rsid w:val="003879FD"/>
    <w:rsid w:val="003904AC"/>
    <w:rsid w:val="003925B8"/>
    <w:rsid w:val="003932C1"/>
    <w:rsid w:val="00395BD7"/>
    <w:rsid w:val="00397B00"/>
    <w:rsid w:val="003A1586"/>
    <w:rsid w:val="003A167C"/>
    <w:rsid w:val="003A4181"/>
    <w:rsid w:val="003A7425"/>
    <w:rsid w:val="003B2D34"/>
    <w:rsid w:val="003B558D"/>
    <w:rsid w:val="003C0534"/>
    <w:rsid w:val="003F025D"/>
    <w:rsid w:val="00402F5C"/>
    <w:rsid w:val="00410205"/>
    <w:rsid w:val="00410779"/>
    <w:rsid w:val="004114D6"/>
    <w:rsid w:val="004117E1"/>
    <w:rsid w:val="004153C7"/>
    <w:rsid w:val="004208B7"/>
    <w:rsid w:val="00422405"/>
    <w:rsid w:val="004230DB"/>
    <w:rsid w:val="0043444B"/>
    <w:rsid w:val="004426E0"/>
    <w:rsid w:val="00442839"/>
    <w:rsid w:val="00445FC2"/>
    <w:rsid w:val="00450A08"/>
    <w:rsid w:val="00451491"/>
    <w:rsid w:val="00453992"/>
    <w:rsid w:val="00457C1D"/>
    <w:rsid w:val="00472DF5"/>
    <w:rsid w:val="004778FE"/>
    <w:rsid w:val="00485248"/>
    <w:rsid w:val="00493C50"/>
    <w:rsid w:val="004A59CF"/>
    <w:rsid w:val="004B71E5"/>
    <w:rsid w:val="004B784B"/>
    <w:rsid w:val="004D1ED0"/>
    <w:rsid w:val="004D3022"/>
    <w:rsid w:val="004E27B8"/>
    <w:rsid w:val="004E38DF"/>
    <w:rsid w:val="005000C7"/>
    <w:rsid w:val="00510405"/>
    <w:rsid w:val="005108F8"/>
    <w:rsid w:val="00520239"/>
    <w:rsid w:val="005319A8"/>
    <w:rsid w:val="00533AAD"/>
    <w:rsid w:val="00544276"/>
    <w:rsid w:val="005561F3"/>
    <w:rsid w:val="00556A5B"/>
    <w:rsid w:val="00572155"/>
    <w:rsid w:val="00575743"/>
    <w:rsid w:val="00576099"/>
    <w:rsid w:val="00584FDB"/>
    <w:rsid w:val="0058514C"/>
    <w:rsid w:val="005854DE"/>
    <w:rsid w:val="00590487"/>
    <w:rsid w:val="00597D5F"/>
    <w:rsid w:val="005A06E1"/>
    <w:rsid w:val="005A1374"/>
    <w:rsid w:val="005B32D2"/>
    <w:rsid w:val="005C2CE0"/>
    <w:rsid w:val="005D52FC"/>
    <w:rsid w:val="005E0BF2"/>
    <w:rsid w:val="005E2CD8"/>
    <w:rsid w:val="005E3F4B"/>
    <w:rsid w:val="005E6D25"/>
    <w:rsid w:val="005F236D"/>
    <w:rsid w:val="005F2B15"/>
    <w:rsid w:val="005F45ED"/>
    <w:rsid w:val="00617F84"/>
    <w:rsid w:val="00622BB3"/>
    <w:rsid w:val="00630E8A"/>
    <w:rsid w:val="00631782"/>
    <w:rsid w:val="00634A89"/>
    <w:rsid w:val="006475D5"/>
    <w:rsid w:val="00647787"/>
    <w:rsid w:val="006521A0"/>
    <w:rsid w:val="00655A60"/>
    <w:rsid w:val="00665293"/>
    <w:rsid w:val="006724F7"/>
    <w:rsid w:val="006736F9"/>
    <w:rsid w:val="00687B1C"/>
    <w:rsid w:val="00692C75"/>
    <w:rsid w:val="00694EFF"/>
    <w:rsid w:val="006962A2"/>
    <w:rsid w:val="00697BB1"/>
    <w:rsid w:val="006A03EE"/>
    <w:rsid w:val="006A2D00"/>
    <w:rsid w:val="006A350D"/>
    <w:rsid w:val="006A422D"/>
    <w:rsid w:val="006B2DC9"/>
    <w:rsid w:val="006B4CCF"/>
    <w:rsid w:val="006B7FC1"/>
    <w:rsid w:val="006C04B9"/>
    <w:rsid w:val="006C04F4"/>
    <w:rsid w:val="006C3D15"/>
    <w:rsid w:val="006C5434"/>
    <w:rsid w:val="006C6012"/>
    <w:rsid w:val="006D4D44"/>
    <w:rsid w:val="006D54BC"/>
    <w:rsid w:val="006E0BC6"/>
    <w:rsid w:val="006E1F4C"/>
    <w:rsid w:val="006E71F7"/>
    <w:rsid w:val="006E741A"/>
    <w:rsid w:val="006F01B9"/>
    <w:rsid w:val="00700CA2"/>
    <w:rsid w:val="00703CC6"/>
    <w:rsid w:val="0073347F"/>
    <w:rsid w:val="00750AE9"/>
    <w:rsid w:val="007523A8"/>
    <w:rsid w:val="00756E2B"/>
    <w:rsid w:val="00762F01"/>
    <w:rsid w:val="007648FB"/>
    <w:rsid w:val="00767D3D"/>
    <w:rsid w:val="00771E00"/>
    <w:rsid w:val="00774045"/>
    <w:rsid w:val="00780575"/>
    <w:rsid w:val="00780F94"/>
    <w:rsid w:val="00781277"/>
    <w:rsid w:val="0078569F"/>
    <w:rsid w:val="0079075F"/>
    <w:rsid w:val="007911A3"/>
    <w:rsid w:val="0079183E"/>
    <w:rsid w:val="00796FDC"/>
    <w:rsid w:val="007A3A2B"/>
    <w:rsid w:val="007A419B"/>
    <w:rsid w:val="007A4C35"/>
    <w:rsid w:val="007A587C"/>
    <w:rsid w:val="007C3CB5"/>
    <w:rsid w:val="007D118E"/>
    <w:rsid w:val="007D1746"/>
    <w:rsid w:val="007E1B94"/>
    <w:rsid w:val="007E1D14"/>
    <w:rsid w:val="007E4828"/>
    <w:rsid w:val="007E5296"/>
    <w:rsid w:val="007E7BF1"/>
    <w:rsid w:val="00813A8C"/>
    <w:rsid w:val="0081459C"/>
    <w:rsid w:val="00821E86"/>
    <w:rsid w:val="00824123"/>
    <w:rsid w:val="00831251"/>
    <w:rsid w:val="00837826"/>
    <w:rsid w:val="00845B0C"/>
    <w:rsid w:val="00847457"/>
    <w:rsid w:val="0085083B"/>
    <w:rsid w:val="0085318D"/>
    <w:rsid w:val="00853195"/>
    <w:rsid w:val="008540B6"/>
    <w:rsid w:val="0086151F"/>
    <w:rsid w:val="00870836"/>
    <w:rsid w:val="00870EED"/>
    <w:rsid w:val="0088045D"/>
    <w:rsid w:val="00886C5B"/>
    <w:rsid w:val="008A07EA"/>
    <w:rsid w:val="008A1B2E"/>
    <w:rsid w:val="008A2890"/>
    <w:rsid w:val="008A7BD4"/>
    <w:rsid w:val="008B1250"/>
    <w:rsid w:val="008B5902"/>
    <w:rsid w:val="008B5CC4"/>
    <w:rsid w:val="008C633A"/>
    <w:rsid w:val="008D2F47"/>
    <w:rsid w:val="008D7D59"/>
    <w:rsid w:val="008E0DB7"/>
    <w:rsid w:val="008E13FD"/>
    <w:rsid w:val="008E15B0"/>
    <w:rsid w:val="008E3B67"/>
    <w:rsid w:val="008E5075"/>
    <w:rsid w:val="0090061F"/>
    <w:rsid w:val="00903048"/>
    <w:rsid w:val="00905D5F"/>
    <w:rsid w:val="00912C69"/>
    <w:rsid w:val="00920019"/>
    <w:rsid w:val="00923420"/>
    <w:rsid w:val="00926274"/>
    <w:rsid w:val="00930D9D"/>
    <w:rsid w:val="00931B85"/>
    <w:rsid w:val="0093762D"/>
    <w:rsid w:val="00941669"/>
    <w:rsid w:val="00944492"/>
    <w:rsid w:val="00945F0A"/>
    <w:rsid w:val="00947F52"/>
    <w:rsid w:val="00961028"/>
    <w:rsid w:val="009640C2"/>
    <w:rsid w:val="00967AE3"/>
    <w:rsid w:val="00970495"/>
    <w:rsid w:val="0097141F"/>
    <w:rsid w:val="00973971"/>
    <w:rsid w:val="0098666A"/>
    <w:rsid w:val="00990512"/>
    <w:rsid w:val="009957BB"/>
    <w:rsid w:val="00997F1E"/>
    <w:rsid w:val="009A05CD"/>
    <w:rsid w:val="009A148D"/>
    <w:rsid w:val="009A2FA7"/>
    <w:rsid w:val="009A4156"/>
    <w:rsid w:val="009B3A4F"/>
    <w:rsid w:val="009B784E"/>
    <w:rsid w:val="009C7D87"/>
    <w:rsid w:val="009D2F9B"/>
    <w:rsid w:val="009D4337"/>
    <w:rsid w:val="009D4D75"/>
    <w:rsid w:val="009F16D6"/>
    <w:rsid w:val="009F5F0C"/>
    <w:rsid w:val="00A06F5F"/>
    <w:rsid w:val="00A076A5"/>
    <w:rsid w:val="00A12519"/>
    <w:rsid w:val="00A12F1B"/>
    <w:rsid w:val="00A162A7"/>
    <w:rsid w:val="00A20D89"/>
    <w:rsid w:val="00A213E8"/>
    <w:rsid w:val="00A24289"/>
    <w:rsid w:val="00A25142"/>
    <w:rsid w:val="00A274CD"/>
    <w:rsid w:val="00A279E4"/>
    <w:rsid w:val="00A30146"/>
    <w:rsid w:val="00A309CB"/>
    <w:rsid w:val="00A42AE4"/>
    <w:rsid w:val="00A562EE"/>
    <w:rsid w:val="00A56A6F"/>
    <w:rsid w:val="00A57FE6"/>
    <w:rsid w:val="00A77AA4"/>
    <w:rsid w:val="00A86A3C"/>
    <w:rsid w:val="00A93D48"/>
    <w:rsid w:val="00A941DF"/>
    <w:rsid w:val="00AA28E6"/>
    <w:rsid w:val="00AA2CF2"/>
    <w:rsid w:val="00AA35AE"/>
    <w:rsid w:val="00AB03F5"/>
    <w:rsid w:val="00AB17D1"/>
    <w:rsid w:val="00AC0B58"/>
    <w:rsid w:val="00AC2EF0"/>
    <w:rsid w:val="00AC66E0"/>
    <w:rsid w:val="00AC747F"/>
    <w:rsid w:val="00AD463D"/>
    <w:rsid w:val="00AD7426"/>
    <w:rsid w:val="00AD7DD1"/>
    <w:rsid w:val="00AE34BA"/>
    <w:rsid w:val="00AF3D18"/>
    <w:rsid w:val="00AF6C33"/>
    <w:rsid w:val="00AF72B8"/>
    <w:rsid w:val="00B04241"/>
    <w:rsid w:val="00B116D7"/>
    <w:rsid w:val="00B13F1D"/>
    <w:rsid w:val="00B17FF1"/>
    <w:rsid w:val="00B23160"/>
    <w:rsid w:val="00B248FB"/>
    <w:rsid w:val="00B43CAA"/>
    <w:rsid w:val="00B54429"/>
    <w:rsid w:val="00B54773"/>
    <w:rsid w:val="00B64E4A"/>
    <w:rsid w:val="00B72100"/>
    <w:rsid w:val="00B72D55"/>
    <w:rsid w:val="00B91DAC"/>
    <w:rsid w:val="00B91DCB"/>
    <w:rsid w:val="00B9349A"/>
    <w:rsid w:val="00B94F68"/>
    <w:rsid w:val="00BA2AB7"/>
    <w:rsid w:val="00BA5228"/>
    <w:rsid w:val="00BA7C5F"/>
    <w:rsid w:val="00BB6EE7"/>
    <w:rsid w:val="00BC218E"/>
    <w:rsid w:val="00BC3DBE"/>
    <w:rsid w:val="00BC51E5"/>
    <w:rsid w:val="00BE5177"/>
    <w:rsid w:val="00BE6739"/>
    <w:rsid w:val="00BF0515"/>
    <w:rsid w:val="00C00A5C"/>
    <w:rsid w:val="00C00C15"/>
    <w:rsid w:val="00C01869"/>
    <w:rsid w:val="00C023A8"/>
    <w:rsid w:val="00C03F6B"/>
    <w:rsid w:val="00C05F04"/>
    <w:rsid w:val="00C0646B"/>
    <w:rsid w:val="00C11595"/>
    <w:rsid w:val="00C148DD"/>
    <w:rsid w:val="00C16A40"/>
    <w:rsid w:val="00C16E24"/>
    <w:rsid w:val="00C177D6"/>
    <w:rsid w:val="00C17E50"/>
    <w:rsid w:val="00C24227"/>
    <w:rsid w:val="00C244E9"/>
    <w:rsid w:val="00C27C39"/>
    <w:rsid w:val="00C33A35"/>
    <w:rsid w:val="00C416DA"/>
    <w:rsid w:val="00C4202D"/>
    <w:rsid w:val="00C46C99"/>
    <w:rsid w:val="00C47F47"/>
    <w:rsid w:val="00C57D63"/>
    <w:rsid w:val="00C60744"/>
    <w:rsid w:val="00C62DEC"/>
    <w:rsid w:val="00C711AD"/>
    <w:rsid w:val="00C95E57"/>
    <w:rsid w:val="00C96F25"/>
    <w:rsid w:val="00CA2FD3"/>
    <w:rsid w:val="00CA32DE"/>
    <w:rsid w:val="00CB2527"/>
    <w:rsid w:val="00CB308D"/>
    <w:rsid w:val="00CF1B7C"/>
    <w:rsid w:val="00CF2D41"/>
    <w:rsid w:val="00CF2E97"/>
    <w:rsid w:val="00CF4850"/>
    <w:rsid w:val="00D069DF"/>
    <w:rsid w:val="00D13A4F"/>
    <w:rsid w:val="00D2526D"/>
    <w:rsid w:val="00D34D19"/>
    <w:rsid w:val="00D34EB8"/>
    <w:rsid w:val="00D44481"/>
    <w:rsid w:val="00D50A9B"/>
    <w:rsid w:val="00D53D81"/>
    <w:rsid w:val="00D64817"/>
    <w:rsid w:val="00D67D15"/>
    <w:rsid w:val="00D73306"/>
    <w:rsid w:val="00D73D67"/>
    <w:rsid w:val="00D80D65"/>
    <w:rsid w:val="00D90957"/>
    <w:rsid w:val="00D918B0"/>
    <w:rsid w:val="00DA52E0"/>
    <w:rsid w:val="00DB2616"/>
    <w:rsid w:val="00DC0894"/>
    <w:rsid w:val="00DC522B"/>
    <w:rsid w:val="00DD2FC7"/>
    <w:rsid w:val="00DE32EC"/>
    <w:rsid w:val="00DE617B"/>
    <w:rsid w:val="00DE7C2D"/>
    <w:rsid w:val="00DF2131"/>
    <w:rsid w:val="00DF2C75"/>
    <w:rsid w:val="00DF695D"/>
    <w:rsid w:val="00DF7D3C"/>
    <w:rsid w:val="00E00696"/>
    <w:rsid w:val="00E015BD"/>
    <w:rsid w:val="00E05989"/>
    <w:rsid w:val="00E13990"/>
    <w:rsid w:val="00E15787"/>
    <w:rsid w:val="00E16132"/>
    <w:rsid w:val="00E164EB"/>
    <w:rsid w:val="00E16889"/>
    <w:rsid w:val="00E16C48"/>
    <w:rsid w:val="00E3394E"/>
    <w:rsid w:val="00E33FC4"/>
    <w:rsid w:val="00E35087"/>
    <w:rsid w:val="00E3597E"/>
    <w:rsid w:val="00E46B0E"/>
    <w:rsid w:val="00E541F5"/>
    <w:rsid w:val="00E54542"/>
    <w:rsid w:val="00E55ADE"/>
    <w:rsid w:val="00E62677"/>
    <w:rsid w:val="00E634DE"/>
    <w:rsid w:val="00E8017E"/>
    <w:rsid w:val="00E858F2"/>
    <w:rsid w:val="00E85B77"/>
    <w:rsid w:val="00E863BC"/>
    <w:rsid w:val="00E90198"/>
    <w:rsid w:val="00EA0B5B"/>
    <w:rsid w:val="00EB0F01"/>
    <w:rsid w:val="00EB1A4B"/>
    <w:rsid w:val="00EB4344"/>
    <w:rsid w:val="00EB4897"/>
    <w:rsid w:val="00EC3E36"/>
    <w:rsid w:val="00EC75DE"/>
    <w:rsid w:val="00EE087D"/>
    <w:rsid w:val="00EE2FBD"/>
    <w:rsid w:val="00EE4456"/>
    <w:rsid w:val="00EF5B8C"/>
    <w:rsid w:val="00EF7C2A"/>
    <w:rsid w:val="00F02027"/>
    <w:rsid w:val="00F0705A"/>
    <w:rsid w:val="00F07792"/>
    <w:rsid w:val="00F07C46"/>
    <w:rsid w:val="00F132FB"/>
    <w:rsid w:val="00F14B2B"/>
    <w:rsid w:val="00F215D6"/>
    <w:rsid w:val="00F236F4"/>
    <w:rsid w:val="00F3120C"/>
    <w:rsid w:val="00F36518"/>
    <w:rsid w:val="00F67C0B"/>
    <w:rsid w:val="00F72504"/>
    <w:rsid w:val="00F75D76"/>
    <w:rsid w:val="00F81886"/>
    <w:rsid w:val="00F82DAC"/>
    <w:rsid w:val="00F8392B"/>
    <w:rsid w:val="00F917E8"/>
    <w:rsid w:val="00F92B9E"/>
    <w:rsid w:val="00FA207F"/>
    <w:rsid w:val="00FA524E"/>
    <w:rsid w:val="00FA5B86"/>
    <w:rsid w:val="00FA79CB"/>
    <w:rsid w:val="00FB4E9E"/>
    <w:rsid w:val="00FB6625"/>
    <w:rsid w:val="00FC075D"/>
    <w:rsid w:val="00FC26D3"/>
    <w:rsid w:val="00FD2EC3"/>
    <w:rsid w:val="00FD41EA"/>
    <w:rsid w:val="00FD4647"/>
    <w:rsid w:val="00FD4E96"/>
    <w:rsid w:val="00FE3AE8"/>
    <w:rsid w:val="00FF5101"/>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B4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2B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C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C69"/>
  </w:style>
  <w:style w:type="paragraph" w:styleId="Footer">
    <w:name w:val="footer"/>
    <w:basedOn w:val="Normal"/>
    <w:link w:val="FooterChar"/>
    <w:uiPriority w:val="99"/>
    <w:unhideWhenUsed/>
    <w:rsid w:val="00912C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C69"/>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ootnotes Char,fn,Footnote,Footnotes"/>
    <w:basedOn w:val="Normal"/>
    <w:link w:val="FootnoteTextChar"/>
    <w:unhideWhenUsed/>
    <w:qFormat/>
    <w:rsid w:val="00912C69"/>
    <w:pPr>
      <w:spacing w:after="0" w:line="240" w:lineRule="auto"/>
    </w:pPr>
    <w:rPr>
      <w:sz w:val="20"/>
      <w:szCs w:val="20"/>
    </w:rPr>
  </w:style>
  <w:style w:type="character" w:customStyle="1" w:styleId="FootnoteTextChar">
    <w:name w:val="Footnote Text Char"/>
    <w:aliases w:val="footnotes Char1,Footnote Text Char2 Char Char,Footnote Text Char Char1 Char Char,Footnote Text Char2 Char Char Char Char,Footnote Text Char1 Char Char Char Char Char,Footnote Text Char Char Char Char Char Char Char,footnotes Char Char"/>
    <w:basedOn w:val="DefaultParagraphFont"/>
    <w:link w:val="FootnoteText"/>
    <w:uiPriority w:val="99"/>
    <w:rsid w:val="00912C69"/>
    <w:rPr>
      <w:sz w:val="20"/>
      <w:szCs w:val="20"/>
    </w:rPr>
  </w:style>
  <w:style w:type="character" w:styleId="FootnoteReference">
    <w:name w:val="footnote reference"/>
    <w:aliases w:val="Footnote Refernece,Footnote Refernece + (Latein) Arial,10 pt,Blau,Footnote symbol,Footnote reference number,note TESI,nota pié di pagina,Footnote Reference Superscript,Footnotes refss,Appel note de bas de p.,callout,4_G,BVI fnr,FR,Re"/>
    <w:link w:val="FootnoteReferneceChar"/>
    <w:uiPriority w:val="99"/>
    <w:unhideWhenUsed/>
    <w:rsid w:val="00912C69"/>
    <w:rPr>
      <w:vertAlign w:val="superscript"/>
    </w:rPr>
  </w:style>
  <w:style w:type="paragraph" w:customStyle="1" w:styleId="FRAHeading1">
    <w:name w:val="(FRA) Heading 1"/>
    <w:basedOn w:val="Normal"/>
    <w:next w:val="Normal"/>
    <w:qFormat/>
    <w:rsid w:val="00912C69"/>
    <w:pPr>
      <w:keepNext/>
      <w:tabs>
        <w:tab w:val="left" w:pos="1134"/>
      </w:tabs>
      <w:spacing w:before="480" w:after="240" w:line="240" w:lineRule="auto"/>
    </w:pPr>
    <w:rPr>
      <w:rFonts w:ascii="Arial Narrow" w:eastAsia="Calibri" w:hAnsi="Arial Narrow" w:cs="Times New Roman"/>
      <w:sz w:val="48"/>
      <w:lang w:val="en-GB" w:bidi="en-US"/>
    </w:rPr>
  </w:style>
  <w:style w:type="character" w:styleId="Hyperlink">
    <w:name w:val="Hyperlink"/>
    <w:basedOn w:val="DefaultParagraphFont"/>
    <w:uiPriority w:val="99"/>
    <w:rsid w:val="00074027"/>
    <w:rPr>
      <w:color w:val="0000FF" w:themeColor="hyperlink"/>
      <w:u w:val="single"/>
    </w:rPr>
  </w:style>
  <w:style w:type="paragraph" w:styleId="ListParagraph">
    <w:name w:val="List Paragraph"/>
    <w:basedOn w:val="Normal"/>
    <w:uiPriority w:val="99"/>
    <w:qFormat/>
    <w:rsid w:val="00BA2AB7"/>
    <w:pPr>
      <w:ind w:left="720"/>
      <w:contextualSpacing/>
    </w:pPr>
  </w:style>
  <w:style w:type="paragraph" w:customStyle="1" w:styleId="FRABodyText">
    <w:name w:val="(FRA) Body Text"/>
    <w:basedOn w:val="Normal"/>
    <w:rsid w:val="00B64E4A"/>
    <w:pPr>
      <w:numPr>
        <w:numId w:val="7"/>
      </w:numPr>
      <w:tabs>
        <w:tab w:val="left" w:pos="0"/>
      </w:tabs>
      <w:spacing w:after="240" w:line="240" w:lineRule="auto"/>
      <w:jc w:val="both"/>
    </w:pPr>
    <w:rPr>
      <w:rFonts w:ascii="Times New Roman" w:eastAsia="Calibri" w:hAnsi="Times New Roman" w:cs="Times New Roman"/>
      <w:lang w:val="en-GB" w:bidi="en-US"/>
    </w:rPr>
  </w:style>
  <w:style w:type="table" w:styleId="TableGrid">
    <w:name w:val="Table Grid"/>
    <w:basedOn w:val="TableNormal"/>
    <w:uiPriority w:val="59"/>
    <w:rsid w:val="00C95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BulletPoints2">
    <w:name w:val="(FRA) Bullet Points 2"/>
    <w:basedOn w:val="Normal"/>
    <w:qFormat/>
    <w:rsid w:val="00C16A40"/>
    <w:pPr>
      <w:tabs>
        <w:tab w:val="num" w:pos="0"/>
      </w:tabs>
      <w:spacing w:before="120" w:after="240" w:line="240" w:lineRule="auto"/>
      <w:ind w:left="568" w:hanging="284"/>
      <w:contextualSpacing/>
    </w:pPr>
    <w:rPr>
      <w:rFonts w:ascii="Times New Roman" w:eastAsia="Calibri" w:hAnsi="Times New Roman" w:cs="Times New Roman"/>
      <w:lang w:val="en-GB" w:bidi="en-US"/>
    </w:rPr>
  </w:style>
  <w:style w:type="character" w:styleId="CommentReference">
    <w:name w:val="annotation reference"/>
    <w:basedOn w:val="DefaultParagraphFont"/>
    <w:uiPriority w:val="99"/>
    <w:semiHidden/>
    <w:unhideWhenUsed/>
    <w:rsid w:val="00D80D65"/>
    <w:rPr>
      <w:sz w:val="16"/>
      <w:szCs w:val="16"/>
    </w:rPr>
  </w:style>
  <w:style w:type="paragraph" w:styleId="CommentText">
    <w:name w:val="annotation text"/>
    <w:basedOn w:val="Normal"/>
    <w:link w:val="CommentTextChar"/>
    <w:uiPriority w:val="99"/>
    <w:unhideWhenUsed/>
    <w:rsid w:val="00D80D65"/>
    <w:pPr>
      <w:spacing w:line="240" w:lineRule="auto"/>
    </w:pPr>
    <w:rPr>
      <w:sz w:val="20"/>
      <w:szCs w:val="20"/>
    </w:rPr>
  </w:style>
  <w:style w:type="character" w:customStyle="1" w:styleId="CommentTextChar">
    <w:name w:val="Comment Text Char"/>
    <w:basedOn w:val="DefaultParagraphFont"/>
    <w:link w:val="CommentText"/>
    <w:uiPriority w:val="99"/>
    <w:rsid w:val="00D80D65"/>
    <w:rPr>
      <w:sz w:val="20"/>
      <w:szCs w:val="20"/>
    </w:rPr>
  </w:style>
  <w:style w:type="paragraph" w:styleId="CommentSubject">
    <w:name w:val="annotation subject"/>
    <w:basedOn w:val="CommentText"/>
    <w:next w:val="CommentText"/>
    <w:link w:val="CommentSubjectChar"/>
    <w:uiPriority w:val="99"/>
    <w:semiHidden/>
    <w:unhideWhenUsed/>
    <w:rsid w:val="00D80D65"/>
    <w:rPr>
      <w:b/>
      <w:bCs/>
    </w:rPr>
  </w:style>
  <w:style w:type="character" w:customStyle="1" w:styleId="CommentSubjectChar">
    <w:name w:val="Comment Subject Char"/>
    <w:basedOn w:val="CommentTextChar"/>
    <w:link w:val="CommentSubject"/>
    <w:uiPriority w:val="99"/>
    <w:semiHidden/>
    <w:rsid w:val="00D80D65"/>
    <w:rPr>
      <w:b/>
      <w:bCs/>
      <w:sz w:val="20"/>
      <w:szCs w:val="20"/>
    </w:rPr>
  </w:style>
  <w:style w:type="paragraph" w:styleId="BalloonText">
    <w:name w:val="Balloon Text"/>
    <w:basedOn w:val="Normal"/>
    <w:link w:val="BalloonTextChar"/>
    <w:uiPriority w:val="99"/>
    <w:semiHidden/>
    <w:unhideWhenUsed/>
    <w:rsid w:val="00D80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D65"/>
    <w:rPr>
      <w:rFonts w:ascii="Tahoma" w:hAnsi="Tahoma" w:cs="Tahoma"/>
      <w:sz w:val="16"/>
      <w:szCs w:val="16"/>
    </w:rPr>
  </w:style>
  <w:style w:type="character" w:styleId="FollowedHyperlink">
    <w:name w:val="FollowedHyperlink"/>
    <w:basedOn w:val="DefaultParagraphFont"/>
    <w:uiPriority w:val="99"/>
    <w:semiHidden/>
    <w:unhideWhenUsed/>
    <w:rsid w:val="00442839"/>
    <w:rPr>
      <w:color w:val="800080" w:themeColor="followedHyperlink"/>
      <w:u w:val="single"/>
    </w:rPr>
  </w:style>
  <w:style w:type="character" w:customStyle="1" w:styleId="FootnoteTextChar3">
    <w:name w:val="Footnote Text Char3"/>
    <w:aliases w:val="footnotes Char3,Footnote Text Char2 Char Char3,Footnote Text Char Char1 Char Char3,Footnote Text Char2 Char Char Char Char3,Footnote Text Char1 Char Char Char Char Char3,Footnote Text Char Char Char Char Char Char Char1,fn Char"/>
    <w:basedOn w:val="DefaultParagraphFont"/>
    <w:uiPriority w:val="99"/>
    <w:locked/>
    <w:rsid w:val="0029553E"/>
    <w:rPr>
      <w:rFonts w:cs="Times New Roman"/>
      <w:lang w:eastAsia="en-US"/>
    </w:rPr>
  </w:style>
  <w:style w:type="character" w:styleId="Strong">
    <w:name w:val="Strong"/>
    <w:basedOn w:val="DefaultParagraphFont"/>
    <w:uiPriority w:val="99"/>
    <w:qFormat/>
    <w:rsid w:val="0029553E"/>
    <w:rPr>
      <w:rFonts w:cs="Times New Roman"/>
      <w:b/>
      <w:bCs/>
    </w:rPr>
  </w:style>
  <w:style w:type="character" w:customStyle="1" w:styleId="Heading1Char">
    <w:name w:val="Heading 1 Char"/>
    <w:basedOn w:val="DefaultParagraphFont"/>
    <w:link w:val="Heading1"/>
    <w:uiPriority w:val="9"/>
    <w:rsid w:val="00172B1F"/>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0E7FFB"/>
    <w:rPr>
      <w:color w:val="808080"/>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al"/>
    <w:link w:val="FootnoteReference"/>
    <w:uiPriority w:val="99"/>
    <w:rsid w:val="00E85B77"/>
    <w:pPr>
      <w:spacing w:after="160" w:line="240" w:lineRule="exact"/>
    </w:pPr>
    <w:rPr>
      <w:vertAlign w:val="superscript"/>
    </w:rPr>
  </w:style>
  <w:style w:type="character" w:styleId="HTMLCite">
    <w:name w:val="HTML Cite"/>
    <w:unhideWhenUsed/>
    <w:rsid w:val="00141E9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2B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C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C69"/>
  </w:style>
  <w:style w:type="paragraph" w:styleId="Footer">
    <w:name w:val="footer"/>
    <w:basedOn w:val="Normal"/>
    <w:link w:val="FooterChar"/>
    <w:uiPriority w:val="99"/>
    <w:unhideWhenUsed/>
    <w:rsid w:val="00912C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C69"/>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ootnotes Char,fn,Footnote,Footnotes"/>
    <w:basedOn w:val="Normal"/>
    <w:link w:val="FootnoteTextChar"/>
    <w:unhideWhenUsed/>
    <w:qFormat/>
    <w:rsid w:val="00912C69"/>
    <w:pPr>
      <w:spacing w:after="0" w:line="240" w:lineRule="auto"/>
    </w:pPr>
    <w:rPr>
      <w:sz w:val="20"/>
      <w:szCs w:val="20"/>
    </w:rPr>
  </w:style>
  <w:style w:type="character" w:customStyle="1" w:styleId="FootnoteTextChar">
    <w:name w:val="Footnote Text Char"/>
    <w:aliases w:val="footnotes Char1,Footnote Text Char2 Char Char,Footnote Text Char Char1 Char Char,Footnote Text Char2 Char Char Char Char,Footnote Text Char1 Char Char Char Char Char,Footnote Text Char Char Char Char Char Char Char,footnotes Char Char"/>
    <w:basedOn w:val="DefaultParagraphFont"/>
    <w:link w:val="FootnoteText"/>
    <w:uiPriority w:val="99"/>
    <w:rsid w:val="00912C69"/>
    <w:rPr>
      <w:sz w:val="20"/>
      <w:szCs w:val="20"/>
    </w:rPr>
  </w:style>
  <w:style w:type="character" w:styleId="FootnoteReference">
    <w:name w:val="footnote reference"/>
    <w:aliases w:val="Footnote Refernece,Footnote Refernece + (Latein) Arial,10 pt,Blau,Footnote symbol,Footnote reference number,note TESI,nota pié di pagina,Footnote Reference Superscript,Footnotes refss,Appel note de bas de p.,callout,4_G,BVI fnr,FR,Re"/>
    <w:link w:val="FootnoteReferneceChar"/>
    <w:uiPriority w:val="99"/>
    <w:unhideWhenUsed/>
    <w:rsid w:val="00912C69"/>
    <w:rPr>
      <w:vertAlign w:val="superscript"/>
    </w:rPr>
  </w:style>
  <w:style w:type="paragraph" w:customStyle="1" w:styleId="FRAHeading1">
    <w:name w:val="(FRA) Heading 1"/>
    <w:basedOn w:val="Normal"/>
    <w:next w:val="Normal"/>
    <w:qFormat/>
    <w:rsid w:val="00912C69"/>
    <w:pPr>
      <w:keepNext/>
      <w:tabs>
        <w:tab w:val="left" w:pos="1134"/>
      </w:tabs>
      <w:spacing w:before="480" w:after="240" w:line="240" w:lineRule="auto"/>
    </w:pPr>
    <w:rPr>
      <w:rFonts w:ascii="Arial Narrow" w:eastAsia="Calibri" w:hAnsi="Arial Narrow" w:cs="Times New Roman"/>
      <w:sz w:val="48"/>
      <w:lang w:val="en-GB" w:bidi="en-US"/>
    </w:rPr>
  </w:style>
  <w:style w:type="character" w:styleId="Hyperlink">
    <w:name w:val="Hyperlink"/>
    <w:basedOn w:val="DefaultParagraphFont"/>
    <w:uiPriority w:val="99"/>
    <w:rsid w:val="00074027"/>
    <w:rPr>
      <w:color w:val="0000FF" w:themeColor="hyperlink"/>
      <w:u w:val="single"/>
    </w:rPr>
  </w:style>
  <w:style w:type="paragraph" w:styleId="ListParagraph">
    <w:name w:val="List Paragraph"/>
    <w:basedOn w:val="Normal"/>
    <w:uiPriority w:val="99"/>
    <w:qFormat/>
    <w:rsid w:val="00BA2AB7"/>
    <w:pPr>
      <w:ind w:left="720"/>
      <w:contextualSpacing/>
    </w:pPr>
  </w:style>
  <w:style w:type="paragraph" w:customStyle="1" w:styleId="FRABodyText">
    <w:name w:val="(FRA) Body Text"/>
    <w:basedOn w:val="Normal"/>
    <w:rsid w:val="00B64E4A"/>
    <w:pPr>
      <w:numPr>
        <w:numId w:val="7"/>
      </w:numPr>
      <w:tabs>
        <w:tab w:val="left" w:pos="0"/>
      </w:tabs>
      <w:spacing w:after="240" w:line="240" w:lineRule="auto"/>
      <w:jc w:val="both"/>
    </w:pPr>
    <w:rPr>
      <w:rFonts w:ascii="Times New Roman" w:eastAsia="Calibri" w:hAnsi="Times New Roman" w:cs="Times New Roman"/>
      <w:lang w:val="en-GB" w:bidi="en-US"/>
    </w:rPr>
  </w:style>
  <w:style w:type="table" w:styleId="TableGrid">
    <w:name w:val="Table Grid"/>
    <w:basedOn w:val="TableNormal"/>
    <w:uiPriority w:val="59"/>
    <w:rsid w:val="00C95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BulletPoints2">
    <w:name w:val="(FRA) Bullet Points 2"/>
    <w:basedOn w:val="Normal"/>
    <w:qFormat/>
    <w:rsid w:val="00C16A40"/>
    <w:pPr>
      <w:tabs>
        <w:tab w:val="num" w:pos="0"/>
      </w:tabs>
      <w:spacing w:before="120" w:after="240" w:line="240" w:lineRule="auto"/>
      <w:ind w:left="568" w:hanging="284"/>
      <w:contextualSpacing/>
    </w:pPr>
    <w:rPr>
      <w:rFonts w:ascii="Times New Roman" w:eastAsia="Calibri" w:hAnsi="Times New Roman" w:cs="Times New Roman"/>
      <w:lang w:val="en-GB" w:bidi="en-US"/>
    </w:rPr>
  </w:style>
  <w:style w:type="character" w:styleId="CommentReference">
    <w:name w:val="annotation reference"/>
    <w:basedOn w:val="DefaultParagraphFont"/>
    <w:uiPriority w:val="99"/>
    <w:semiHidden/>
    <w:unhideWhenUsed/>
    <w:rsid w:val="00D80D65"/>
    <w:rPr>
      <w:sz w:val="16"/>
      <w:szCs w:val="16"/>
    </w:rPr>
  </w:style>
  <w:style w:type="paragraph" w:styleId="CommentText">
    <w:name w:val="annotation text"/>
    <w:basedOn w:val="Normal"/>
    <w:link w:val="CommentTextChar"/>
    <w:uiPriority w:val="99"/>
    <w:unhideWhenUsed/>
    <w:rsid w:val="00D80D65"/>
    <w:pPr>
      <w:spacing w:line="240" w:lineRule="auto"/>
    </w:pPr>
    <w:rPr>
      <w:sz w:val="20"/>
      <w:szCs w:val="20"/>
    </w:rPr>
  </w:style>
  <w:style w:type="character" w:customStyle="1" w:styleId="CommentTextChar">
    <w:name w:val="Comment Text Char"/>
    <w:basedOn w:val="DefaultParagraphFont"/>
    <w:link w:val="CommentText"/>
    <w:uiPriority w:val="99"/>
    <w:rsid w:val="00D80D65"/>
    <w:rPr>
      <w:sz w:val="20"/>
      <w:szCs w:val="20"/>
    </w:rPr>
  </w:style>
  <w:style w:type="paragraph" w:styleId="CommentSubject">
    <w:name w:val="annotation subject"/>
    <w:basedOn w:val="CommentText"/>
    <w:next w:val="CommentText"/>
    <w:link w:val="CommentSubjectChar"/>
    <w:uiPriority w:val="99"/>
    <w:semiHidden/>
    <w:unhideWhenUsed/>
    <w:rsid w:val="00D80D65"/>
    <w:rPr>
      <w:b/>
      <w:bCs/>
    </w:rPr>
  </w:style>
  <w:style w:type="character" w:customStyle="1" w:styleId="CommentSubjectChar">
    <w:name w:val="Comment Subject Char"/>
    <w:basedOn w:val="CommentTextChar"/>
    <w:link w:val="CommentSubject"/>
    <w:uiPriority w:val="99"/>
    <w:semiHidden/>
    <w:rsid w:val="00D80D65"/>
    <w:rPr>
      <w:b/>
      <w:bCs/>
      <w:sz w:val="20"/>
      <w:szCs w:val="20"/>
    </w:rPr>
  </w:style>
  <w:style w:type="paragraph" w:styleId="BalloonText">
    <w:name w:val="Balloon Text"/>
    <w:basedOn w:val="Normal"/>
    <w:link w:val="BalloonTextChar"/>
    <w:uiPriority w:val="99"/>
    <w:semiHidden/>
    <w:unhideWhenUsed/>
    <w:rsid w:val="00D80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D65"/>
    <w:rPr>
      <w:rFonts w:ascii="Tahoma" w:hAnsi="Tahoma" w:cs="Tahoma"/>
      <w:sz w:val="16"/>
      <w:szCs w:val="16"/>
    </w:rPr>
  </w:style>
  <w:style w:type="character" w:styleId="FollowedHyperlink">
    <w:name w:val="FollowedHyperlink"/>
    <w:basedOn w:val="DefaultParagraphFont"/>
    <w:uiPriority w:val="99"/>
    <w:semiHidden/>
    <w:unhideWhenUsed/>
    <w:rsid w:val="00442839"/>
    <w:rPr>
      <w:color w:val="800080" w:themeColor="followedHyperlink"/>
      <w:u w:val="single"/>
    </w:rPr>
  </w:style>
  <w:style w:type="character" w:customStyle="1" w:styleId="FootnoteTextChar3">
    <w:name w:val="Footnote Text Char3"/>
    <w:aliases w:val="footnotes Char3,Footnote Text Char2 Char Char3,Footnote Text Char Char1 Char Char3,Footnote Text Char2 Char Char Char Char3,Footnote Text Char1 Char Char Char Char Char3,Footnote Text Char Char Char Char Char Char Char1,fn Char"/>
    <w:basedOn w:val="DefaultParagraphFont"/>
    <w:uiPriority w:val="99"/>
    <w:locked/>
    <w:rsid w:val="0029553E"/>
    <w:rPr>
      <w:rFonts w:cs="Times New Roman"/>
      <w:lang w:eastAsia="en-US"/>
    </w:rPr>
  </w:style>
  <w:style w:type="character" w:styleId="Strong">
    <w:name w:val="Strong"/>
    <w:basedOn w:val="DefaultParagraphFont"/>
    <w:uiPriority w:val="99"/>
    <w:qFormat/>
    <w:rsid w:val="0029553E"/>
    <w:rPr>
      <w:rFonts w:cs="Times New Roman"/>
      <w:b/>
      <w:bCs/>
    </w:rPr>
  </w:style>
  <w:style w:type="character" w:customStyle="1" w:styleId="Heading1Char">
    <w:name w:val="Heading 1 Char"/>
    <w:basedOn w:val="DefaultParagraphFont"/>
    <w:link w:val="Heading1"/>
    <w:uiPriority w:val="9"/>
    <w:rsid w:val="00172B1F"/>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0E7FFB"/>
    <w:rPr>
      <w:color w:val="808080"/>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al"/>
    <w:link w:val="FootnoteReference"/>
    <w:uiPriority w:val="99"/>
    <w:rsid w:val="00E85B77"/>
    <w:pPr>
      <w:spacing w:after="160" w:line="240" w:lineRule="exact"/>
    </w:pPr>
    <w:rPr>
      <w:vertAlign w:val="superscript"/>
    </w:rPr>
  </w:style>
  <w:style w:type="character" w:styleId="HTMLCite">
    <w:name w:val="HTML Cite"/>
    <w:unhideWhenUsed/>
    <w:rsid w:val="00141E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593486">
      <w:bodyDiv w:val="1"/>
      <w:marLeft w:val="0"/>
      <w:marRight w:val="0"/>
      <w:marTop w:val="0"/>
      <w:marBottom w:val="0"/>
      <w:divBdr>
        <w:top w:val="none" w:sz="0" w:space="0" w:color="auto"/>
        <w:left w:val="none" w:sz="0" w:space="0" w:color="auto"/>
        <w:bottom w:val="none" w:sz="0" w:space="0" w:color="auto"/>
        <w:right w:val="none" w:sz="0" w:space="0" w:color="auto"/>
      </w:divBdr>
      <w:divsChild>
        <w:div w:id="52266944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15888012">
      <w:bodyDiv w:val="1"/>
      <w:marLeft w:val="0"/>
      <w:marRight w:val="0"/>
      <w:marTop w:val="0"/>
      <w:marBottom w:val="0"/>
      <w:divBdr>
        <w:top w:val="none" w:sz="0" w:space="0" w:color="auto"/>
        <w:left w:val="none" w:sz="0" w:space="0" w:color="auto"/>
        <w:bottom w:val="none" w:sz="0" w:space="0" w:color="auto"/>
        <w:right w:val="none" w:sz="0" w:space="0" w:color="auto"/>
      </w:divBdr>
      <w:divsChild>
        <w:div w:id="117514539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450175838">
      <w:bodyDiv w:val="1"/>
      <w:marLeft w:val="0"/>
      <w:marRight w:val="0"/>
      <w:marTop w:val="0"/>
      <w:marBottom w:val="0"/>
      <w:divBdr>
        <w:top w:val="none" w:sz="0" w:space="0" w:color="auto"/>
        <w:left w:val="none" w:sz="0" w:space="0" w:color="auto"/>
        <w:bottom w:val="none" w:sz="0" w:space="0" w:color="auto"/>
        <w:right w:val="none" w:sz="0" w:space="0" w:color="auto"/>
      </w:divBdr>
    </w:div>
    <w:div w:id="1046442406">
      <w:bodyDiv w:val="1"/>
      <w:marLeft w:val="0"/>
      <w:marRight w:val="0"/>
      <w:marTop w:val="0"/>
      <w:marBottom w:val="0"/>
      <w:divBdr>
        <w:top w:val="none" w:sz="0" w:space="0" w:color="auto"/>
        <w:left w:val="none" w:sz="0" w:space="0" w:color="auto"/>
        <w:bottom w:val="none" w:sz="0" w:space="0" w:color="auto"/>
        <w:right w:val="none" w:sz="0" w:space="0" w:color="auto"/>
      </w:divBdr>
      <w:divsChild>
        <w:div w:id="177308486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19975855">
      <w:bodyDiv w:val="1"/>
      <w:marLeft w:val="0"/>
      <w:marRight w:val="0"/>
      <w:marTop w:val="0"/>
      <w:marBottom w:val="0"/>
      <w:divBdr>
        <w:top w:val="none" w:sz="0" w:space="0" w:color="auto"/>
        <w:left w:val="none" w:sz="0" w:space="0" w:color="auto"/>
        <w:bottom w:val="none" w:sz="0" w:space="0" w:color="auto"/>
        <w:right w:val="none" w:sz="0" w:space="0" w:color="auto"/>
      </w:divBdr>
      <w:divsChild>
        <w:div w:id="60885035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273124053">
      <w:bodyDiv w:val="1"/>
      <w:marLeft w:val="0"/>
      <w:marRight w:val="0"/>
      <w:marTop w:val="0"/>
      <w:marBottom w:val="0"/>
      <w:divBdr>
        <w:top w:val="none" w:sz="0" w:space="0" w:color="auto"/>
        <w:left w:val="none" w:sz="0" w:space="0" w:color="auto"/>
        <w:bottom w:val="none" w:sz="0" w:space="0" w:color="auto"/>
        <w:right w:val="none" w:sz="0" w:space="0" w:color="auto"/>
      </w:divBdr>
    </w:div>
    <w:div w:id="1336569255">
      <w:bodyDiv w:val="1"/>
      <w:marLeft w:val="0"/>
      <w:marRight w:val="0"/>
      <w:marTop w:val="0"/>
      <w:marBottom w:val="0"/>
      <w:divBdr>
        <w:top w:val="none" w:sz="0" w:space="0" w:color="auto"/>
        <w:left w:val="none" w:sz="0" w:space="0" w:color="auto"/>
        <w:bottom w:val="none" w:sz="0" w:space="0" w:color="auto"/>
        <w:right w:val="none" w:sz="0" w:space="0" w:color="auto"/>
      </w:divBdr>
      <w:divsChild>
        <w:div w:id="13141174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395663817">
      <w:bodyDiv w:val="1"/>
      <w:marLeft w:val="0"/>
      <w:marRight w:val="0"/>
      <w:marTop w:val="0"/>
      <w:marBottom w:val="0"/>
      <w:divBdr>
        <w:top w:val="none" w:sz="0" w:space="0" w:color="auto"/>
        <w:left w:val="none" w:sz="0" w:space="0" w:color="auto"/>
        <w:bottom w:val="none" w:sz="0" w:space="0" w:color="auto"/>
        <w:right w:val="none" w:sz="0" w:space="0" w:color="auto"/>
      </w:divBdr>
    </w:div>
    <w:div w:id="1425153841">
      <w:bodyDiv w:val="1"/>
      <w:marLeft w:val="0"/>
      <w:marRight w:val="0"/>
      <w:marTop w:val="0"/>
      <w:marBottom w:val="0"/>
      <w:divBdr>
        <w:top w:val="none" w:sz="0" w:space="0" w:color="auto"/>
        <w:left w:val="none" w:sz="0" w:space="0" w:color="auto"/>
        <w:bottom w:val="none" w:sz="0" w:space="0" w:color="auto"/>
        <w:right w:val="none" w:sz="0" w:space="0" w:color="auto"/>
      </w:divBdr>
    </w:div>
    <w:div w:id="1750034859">
      <w:bodyDiv w:val="1"/>
      <w:marLeft w:val="0"/>
      <w:marRight w:val="0"/>
      <w:marTop w:val="0"/>
      <w:marBottom w:val="0"/>
      <w:divBdr>
        <w:top w:val="none" w:sz="0" w:space="0" w:color="auto"/>
        <w:left w:val="none" w:sz="0" w:space="0" w:color="auto"/>
        <w:bottom w:val="none" w:sz="0" w:space="0" w:color="auto"/>
        <w:right w:val="none" w:sz="0" w:space="0" w:color="auto"/>
      </w:divBdr>
      <w:divsChild>
        <w:div w:id="209088177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913004925">
      <w:bodyDiv w:val="1"/>
      <w:marLeft w:val="0"/>
      <w:marRight w:val="0"/>
      <w:marTop w:val="0"/>
      <w:marBottom w:val="0"/>
      <w:divBdr>
        <w:top w:val="none" w:sz="0" w:space="0" w:color="auto"/>
        <w:left w:val="none" w:sz="0" w:space="0" w:color="auto"/>
        <w:bottom w:val="none" w:sz="0" w:space="0" w:color="auto"/>
        <w:right w:val="none" w:sz="0" w:space="0" w:color="auto"/>
      </w:divBdr>
      <w:divsChild>
        <w:div w:id="67877349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019965107">
      <w:bodyDiv w:val="1"/>
      <w:marLeft w:val="0"/>
      <w:marRight w:val="0"/>
      <w:marTop w:val="0"/>
      <w:marBottom w:val="0"/>
      <w:divBdr>
        <w:top w:val="none" w:sz="0" w:space="0" w:color="auto"/>
        <w:left w:val="none" w:sz="0" w:space="0" w:color="auto"/>
        <w:bottom w:val="none" w:sz="0" w:space="0" w:color="auto"/>
        <w:right w:val="none" w:sz="0" w:space="0" w:color="auto"/>
      </w:divBdr>
      <w:divsChild>
        <w:div w:id="128222960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w3.org/TR/WCAG20/"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w3.org/TR/WCAG20/"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w3.org/TR/WCAG2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cylaw.org/nomoi/enop/non-ind/1989_1_206/full.html" TargetMode="External"/><Relationship Id="rId13" Type="http://schemas.openxmlformats.org/officeDocument/2006/relationships/hyperlink" Target="http://www.osce.org/odihr/elections/82242" TargetMode="External"/><Relationship Id="rId18" Type="http://schemas.openxmlformats.org/officeDocument/2006/relationships/hyperlink" Target="http://www.mlsi.gov.cy/mlsi/dsid/dsid.nsf/dsipd08_gr/dsipd08_gr?OpenDocument&amp;print" TargetMode="External"/><Relationship Id="rId3" Type="http://schemas.openxmlformats.org/officeDocument/2006/relationships/hyperlink" Target="http://treaties.un.org/Pages/ViewDetails.aspx?src=TREATY&amp;mtdsg_no=IV-15&amp;chapter=4&amp;lang=en" TargetMode="External"/><Relationship Id="rId21" Type="http://schemas.openxmlformats.org/officeDocument/2006/relationships/hyperlink" Target="http://www.cylaw.org/" TargetMode="External"/><Relationship Id="rId7" Type="http://schemas.openxmlformats.org/officeDocument/2006/relationships/hyperlink" Target="http://www.cylaw.org/nomoi/enop/non-ind/1959_1_37/index.html" TargetMode="External"/><Relationship Id="rId12" Type="http://schemas.openxmlformats.org/officeDocument/2006/relationships/hyperlink" Target="http://www.osce.org/odihr/elections/82242" TargetMode="External"/><Relationship Id="rId17" Type="http://schemas.openxmlformats.org/officeDocument/2006/relationships/hyperlink" Target="http://www.osce.org/odihr/elections/82242" TargetMode="External"/><Relationship Id="rId2" Type="http://schemas.openxmlformats.org/officeDocument/2006/relationships/hyperlink" Target="http://treaties.un.org/Pages/ViewDetails.aspx?src=TREATY&amp;mtdsg_no=IV-15&amp;chapter=4&amp;lang=en" TargetMode="External"/><Relationship Id="rId16" Type="http://schemas.openxmlformats.org/officeDocument/2006/relationships/hyperlink" Target="http://www.mlsi.gov.cy/mlsi/dsid/dsid.nsf/All/0870C5B651FDF14EC2257BB7003F3B32?OpenDocument" TargetMode="External"/><Relationship Id="rId20" Type="http://schemas.openxmlformats.org/officeDocument/2006/relationships/hyperlink" Target="http://www.moi.gov.cy/moi/moi.nsf/page16_gr/page16_gr?OpenDocument" TargetMode="External"/><Relationship Id="rId1" Type="http://schemas.openxmlformats.org/officeDocument/2006/relationships/hyperlink" Target="http://treaties.un.org/Pages/ViewDetails.aspx?src=TREATY&amp;mtdsg_no=IV-15&amp;chapter=4&amp;lang=en" TargetMode="External"/><Relationship Id="rId6" Type="http://schemas.openxmlformats.org/officeDocument/2006/relationships/hyperlink" Target="http://www.cylaw.org/nomoi/enop/non-ind/1979_1_72/index.html" TargetMode="External"/><Relationship Id="rId11" Type="http://schemas.openxmlformats.org/officeDocument/2006/relationships/hyperlink" Target="http://www.osce.org/odihr/elections/98755" TargetMode="External"/><Relationship Id="rId5" Type="http://schemas.openxmlformats.org/officeDocument/2006/relationships/hyperlink" Target="http://www.cylaw.org/nomoi/enop/non-ind/2004_1_98/full.html" TargetMode="External"/><Relationship Id="rId15" Type="http://schemas.openxmlformats.org/officeDocument/2006/relationships/hyperlink" Target="http://www.cylaw.org/nomoi/enop/non-ind/2000_1_127/full.html" TargetMode="External"/><Relationship Id="rId23" Type="http://schemas.openxmlformats.org/officeDocument/2006/relationships/hyperlink" Target="file:///C:/Users/Constantinos/AppData/Local/Microsoft/Windows/Temporary%20Internet%20Files/Content.IE5/1R8O7K56/www.w3.org/TR/UNDERSTANDING-WCAG20/conformance.html" TargetMode="External"/><Relationship Id="rId10" Type="http://schemas.openxmlformats.org/officeDocument/2006/relationships/hyperlink" Target="http://www.cylaw.org/nomoi/enop/non-ind/1980_1_40/index.html" TargetMode="External"/><Relationship Id="rId19" Type="http://schemas.openxmlformats.org/officeDocument/2006/relationships/hyperlink" Target="http://www.cylaw.org/nomoi/enop/non-ind/2000_1_127/full.html" TargetMode="External"/><Relationship Id="rId4" Type="http://schemas.openxmlformats.org/officeDocument/2006/relationships/hyperlink" Target="http://www.cylaw.org/nomoi/enop/non-ind/2004_1_10/index.html" TargetMode="External"/><Relationship Id="rId9" Type="http://schemas.openxmlformats.org/officeDocument/2006/relationships/hyperlink" Target="http://www.cylaw.org/nomoi/enop/non-ind/2004_1_98/full.html" TargetMode="External"/><Relationship Id="rId14" Type="http://schemas.openxmlformats.org/officeDocument/2006/relationships/hyperlink" Target="http://www.w3.org/TR/UNDERSTANDING-WCAG20/conformance.html" TargetMode="External"/><Relationship Id="rId22" Type="http://schemas.openxmlformats.org/officeDocument/2006/relationships/hyperlink" Target="http://www.osce.org/odihr/elections/822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raNotifyUsers xmlns="16097700-bd0a-4b4b-83d5-90842b5175e0">
      <UserInfo>
        <DisplayName/>
        <AccountId xsi:nil="true"/>
        <AccountType/>
      </UserInfo>
    </fraNotifyUsers>
    <eedc28dbfc83414ea22c0fb729b3bb8c xmlns="16097700-bd0a-4b4b-83d5-90842b5175e0">
      <Terms xmlns="http://schemas.microsoft.com/office/infopath/2007/PartnerControls"/>
    </eedc28dbfc83414ea22c0fb729b3bb8c>
    <mea2126e36834a0eb3415250650cf607 xmlns="16097700-bd0a-4b4b-83d5-90842b5175e0">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2d2b19a9-1f9f-48bb-ac48-c1a45d7d0217</TermId>
        </TermInfo>
      </Terms>
    </mea2126e36834a0eb3415250650cf607>
    <fraDocumentID xmlns="16097700-bd0a-4b4b-83d5-90842b5175e0" xsi:nil="true"/>
    <o71ee79a4fd140c7933e84878fd431da xmlns="16097700-bd0a-4b4b-83d5-90842b5175e0">
      <Terms xmlns="http://schemas.microsoft.com/office/infopath/2007/PartnerControls">
        <TermInfo xmlns="http://schemas.microsoft.com/office/infopath/2007/PartnerControls">
          <TermName xmlns="http://schemas.microsoft.com/office/infopath/2007/PartnerControls">2012-ECR-07 - Indicators on political participation of persons with disabilities</TermName>
          <TermId xmlns="http://schemas.microsoft.com/office/infopath/2007/PartnerControls">3ba2f83a-f807-452a-a4c3-e61dab7d65c2</TermId>
        </TermInfo>
      </Terms>
    </o71ee79a4fd140c7933e84878fd431da>
    <d2a9ab7d3e1d411c9977f17465ad34bc xmlns="16097700-bd0a-4b4b-83d5-90842b5175e0">
      <Terms xmlns="http://schemas.microsoft.com/office/infopath/2007/PartnerControls"/>
    </d2a9ab7d3e1d411c9977f17465ad34bc>
    <mdeec99bc533490b81a6209a84eb0481 xmlns="16097700-bd0a-4b4b-83d5-90842b5175e0">
      <Terms xmlns="http://schemas.microsoft.com/office/infopath/2007/PartnerControls"/>
    </mdeec99bc533490b81a6209a84eb0481>
    <a124740cd92e4dadad95111afe7812a8 xmlns="16097700-bd0a-4b4b-83d5-90842b5175e0">
      <Terms xmlns="http://schemas.microsoft.com/office/infopath/2007/PartnerControls"/>
    </a124740cd92e4dadad95111afe7812a8>
    <p7f1c324123540189b9acbfd4c3c0c9f xmlns="16097700-bd0a-4b4b-83d5-90842b5175e0">
      <Terms xmlns="http://schemas.microsoft.com/office/infopath/2007/PartnerControls">
        <TermInfo xmlns="http://schemas.microsoft.com/office/infopath/2007/PartnerControls">
          <TermName>Research</TermName>
          <TermId>63c432e6-ebe7-4030-9f7b-2bd4d556aa4a</TermId>
        </TermInfo>
      </Terms>
    </p7f1c324123540189b9acbfd4c3c0c9f>
    <fraPermissionLevel xmlns="16097700-bd0a-4b4b-83d5-90842b5175e0" xsi:nil="true"/>
    <fraMarkedToBeArchived xmlns="16097700-bd0a-4b4b-83d5-90842b5175e0" xsi:nil="true"/>
    <edfbbce1f2434830951aaf742da57400 xmlns="16097700-bd0a-4b4b-83d5-90842b5175e0">
      <Terms xmlns="http://schemas.microsoft.com/office/infopath/2007/PartnerControls"/>
    </edfbbce1f2434830951aaf742da57400>
    <fraFSMigrationPath xmlns="16097700-bd0a-4b4b-83d5-90842b5175e0" xsi:nil="true"/>
    <i5ce7087b5204814a0029bd9f29ccc90 xmlns="16097700-bd0a-4b4b-83d5-90842b5175e0">
      <Terms xmlns="http://schemas.microsoft.com/office/infopath/2007/PartnerControls">
        <TermInfo xmlns="http://schemas.microsoft.com/office/infopath/2007/PartnerControls">
          <TermName xmlns="http://schemas.microsoft.com/office/infopath/2007/PartnerControls">2013</TermName>
          <TermId xmlns="http://schemas.microsoft.com/office/infopath/2007/PartnerControls">89100c69-8623-4b50-bafc-39dac4cd6adf</TermId>
        </TermInfo>
      </Terms>
    </i5ce7087b5204814a0029bd9f29ccc90>
    <TaxCatchAll xmlns="16097700-bd0a-4b4b-83d5-90842b5175e0">
      <Value>772</Value>
      <Value>3063</Value>
      <Value>3665</Value>
      <Value>11</Value>
    </TaxCatchAll>
    <_dlc_DocId xmlns="16097700-bd0a-4b4b-83d5-90842b5175e0">D-2014-35327</_dlc_DocId>
    <_dlc_DocIdUrl xmlns="16097700-bd0a-4b4b-83d5-90842b5175e0">
      <Url>http://dms/research/polparprojectsite/_layouts/DocIdRedir.aspx?ID=D-2014-35327</Url>
      <Description>D-2014-35327</Description>
    </_dlc_DocIdUrl>
    <fraPermissions xmlns="16097700-bd0a-4b4b-83d5-90842b5175e0">Public: Read for all, write dept.</fraPermission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Research Material" ma:contentTypeID="0x010100B25C37F7E1067945B5F92594F3F8F6660300CE9BB0943C915B4DB9FD0CCD774ECB19" ma:contentTypeVersion="44" ma:contentTypeDescription="Research Material" ma:contentTypeScope="" ma:versionID="e2621107c805965b784030818001f923">
  <xsd:schema xmlns:xsd="http://www.w3.org/2001/XMLSchema" xmlns:xs="http://www.w3.org/2001/XMLSchema" xmlns:p="http://schemas.microsoft.com/office/2006/metadata/properties" xmlns:ns1="http://schemas.microsoft.com/sharepoint/v3" xmlns:ns2="16097700-bd0a-4b4b-83d5-90842b5175e0" targetNamespace="http://schemas.microsoft.com/office/2006/metadata/properties" ma:root="true" ma:fieldsID="0b73a300ae4d65caf56f045140a0f5f2" ns1:_="" ns2:_="">
    <xsd:import namespace="http://schemas.microsoft.com/sharepoint/v3"/>
    <xsd:import namespace="16097700-bd0a-4b4b-83d5-90842b5175e0"/>
    <xsd:element name="properties">
      <xsd:complexType>
        <xsd:sequence>
          <xsd:element name="documentManagement">
            <xsd:complexType>
              <xsd:all>
                <xsd:element ref="ns2:fraPermissionLevel" minOccurs="0"/>
                <xsd:element ref="ns2:fraMarkedToBeArchived" minOccurs="0"/>
                <xsd:element ref="ns2:fraFSMigrationPath" minOccurs="0"/>
                <xsd:element ref="ns2:fraDocumentID" minOccurs="0"/>
                <xsd:element ref="ns2:o71ee79a4fd140c7933e84878fd431da" minOccurs="0"/>
                <xsd:element ref="ns2:edfbbce1f2434830951aaf742da57400" minOccurs="0"/>
                <xsd:element ref="ns2:eedc28dbfc83414ea22c0fb729b3bb8c" minOccurs="0"/>
                <xsd:element ref="ns2:mea2126e36834a0eb3415250650cf607" minOccurs="0"/>
                <xsd:element ref="ns2:fraPermissions"/>
                <xsd:element ref="ns2:fraNotifyUsers" minOccurs="0"/>
                <xsd:element ref="ns2:p7f1c324123540189b9acbfd4c3c0c9f" minOccurs="0"/>
                <xsd:element ref="ns2:TaxCatchAll" minOccurs="0"/>
                <xsd:element ref="ns2:TaxCatchAllLabel" minOccurs="0"/>
                <xsd:element ref="ns2:a124740cd92e4dadad95111afe7812a8" minOccurs="0"/>
                <xsd:element ref="ns2:d2a9ab7d3e1d411c9977f17465ad34bc" minOccurs="0"/>
                <xsd:element ref="ns2:_dlc_DocId" minOccurs="0"/>
                <xsd:element ref="ns2:_dlc_DocIdUrl" minOccurs="0"/>
                <xsd:element ref="ns2:_dlc_DocIdPersistId" minOccurs="0"/>
                <xsd:element ref="ns2:i5ce7087b5204814a0029bd9f29ccc90" minOccurs="0"/>
                <xsd:element ref="ns2:mdeec99bc533490b81a6209a84eb0481"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7" nillable="true" ma:displayName="Declared Record" ma:description=""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6097700-bd0a-4b4b-83d5-90842b5175e0" elementFormDefault="qualified">
    <xsd:import namespace="http://schemas.microsoft.com/office/2006/documentManagement/types"/>
    <xsd:import namespace="http://schemas.microsoft.com/office/infopath/2007/PartnerControls"/>
    <xsd:element name="fraPermissionLevel" ma:index="8" nillable="true" ma:displayName="Permission Level" ma:format="Dropdown" ma:hidden="true" ma:internalName="fraPermissionLevel" ma:readOnly="false">
      <xsd:simpleType>
        <xsd:restriction base="dms:Choice">
          <xsd:enumeration value="All (Full Access for all)"/>
          <xsd:enumeration value="Department"/>
          <xsd:enumeration value="Team"/>
          <xsd:enumeration value="Public (Read Access for all)"/>
        </xsd:restriction>
      </xsd:simpleType>
    </xsd:element>
    <xsd:element name="fraMarkedToBeArchived" ma:index="9" nillable="true" ma:displayName="Marked for Archive" ma:hidden="true" ma:internalName="fraMarkedToBeArchived" ma:readOnly="false">
      <xsd:simpleType>
        <xsd:restriction base="dms:Boolean"/>
      </xsd:simpleType>
    </xsd:element>
    <xsd:element name="fraFSMigrationPath" ma:index="10" nillable="true" ma:displayName="FS Migration Path" ma:hidden="true" ma:internalName="fraFSMigrationPath" ma:readOnly="false">
      <xsd:simpleType>
        <xsd:restriction base="dms:Note"/>
      </xsd:simpleType>
    </xsd:element>
    <xsd:element name="fraDocumentID" ma:index="11" nillable="true" ma:displayName="Document ID" ma:hidden="true" ma:internalName="fraDocumentID" ma:readOnly="false">
      <xsd:simpleType>
        <xsd:restriction base="dms:Text"/>
      </xsd:simpleType>
    </xsd:element>
    <xsd:element name="o71ee79a4fd140c7933e84878fd431da" ma:index="12" nillable="true" ma:taxonomy="true" ma:internalName="o71ee79a4fd140c7933e84878fd431da" ma:taxonomyFieldName="fraMatrixProject" ma:displayName="Project" ma:fieldId="{871ee79a-4fd1-40c7-933e-84878fd431da}" ma:sspId="72f02d29-08ed-4ba3-8631-04ec787fba6c" ma:termSetId="b2f8dd22-bc02-43d2-a160-12bb70b23ebc" ma:anchorId="00000000-0000-0000-0000-000000000000" ma:open="true" ma:isKeyword="false">
      <xsd:complexType>
        <xsd:sequence>
          <xsd:element ref="pc:Terms" minOccurs="0" maxOccurs="1"/>
        </xsd:sequence>
      </xsd:complexType>
    </xsd:element>
    <xsd:element name="edfbbce1f2434830951aaf742da57400" ma:index="14" nillable="true" ma:taxonomy="true" ma:internalName="edfbbce1f2434830951aaf742da57400" ma:taxonomyFieldName="fraTagsMM" ma:displayName="Tags" ma:fieldId="{edfbbce1-f243-4830-951a-af742da57400}" ma:taxonomyMulti="true" ma:sspId="72f02d29-08ed-4ba3-8631-04ec787fba6c" ma:termSetId="2cb95d67-de0a-45a4-b552-48721cd95ee9" ma:anchorId="00000000-0000-0000-0000-000000000000" ma:open="true" ma:isKeyword="false">
      <xsd:complexType>
        <xsd:sequence>
          <xsd:element ref="pc:Terms" minOccurs="0" maxOccurs="1"/>
        </xsd:sequence>
      </xsd:complexType>
    </xsd:element>
    <xsd:element name="eedc28dbfc83414ea22c0fb729b3bb8c" ma:index="16" nillable="true" ma:taxonomy="true" ma:internalName="eedc28dbfc83414ea22c0fb729b3bb8c" ma:taxonomyFieldName="fraMAFTemmp" ma:displayName="MAF" ma:fieldId="{eedc28db-fc83-414e-a22c-0fb729b3bb8c}" ma:sspId="72f02d29-08ed-4ba3-8631-04ec787fba6c" ma:termSetId="c4b4e63a-e0c9-4f44-a167-a72ba370642e" ma:anchorId="00000000-0000-0000-0000-000000000000" ma:open="true" ma:isKeyword="false">
      <xsd:complexType>
        <xsd:sequence>
          <xsd:element ref="pc:Terms" minOccurs="0" maxOccurs="1"/>
        </xsd:sequence>
      </xsd:complexType>
    </xsd:element>
    <xsd:element name="mea2126e36834a0eb3415250650cf607" ma:index="18" nillable="true" ma:taxonomy="true" ma:internalName="mea2126e36834a0eb3415250650cf607" ma:taxonomyFieldName="fraContentLanguageMM" ma:displayName="Content Language" ma:default="11;#English|2d2b19a9-1f9f-48bb-ac48-c1a45d7d0217" ma:fieldId="{6ea2126e-3683-4a0e-b341-5250650cf607}" ma:sspId="72f02d29-08ed-4ba3-8631-04ec787fba6c" ma:termSetId="33a78d32-655a-4e6f-9417-97d8e502369a" ma:anchorId="00000000-0000-0000-0000-000000000000" ma:open="false" ma:isKeyword="false">
      <xsd:complexType>
        <xsd:sequence>
          <xsd:element ref="pc:Terms" minOccurs="0" maxOccurs="1"/>
        </xsd:sequence>
      </xsd:complexType>
    </xsd:element>
    <xsd:element name="fraPermissions" ma:index="20" ma:displayName="Permissions" ma:default="Public: Read for all, write dept." ma:format="Dropdown" ma:internalName="fraPermissions" ma:readOnly="true">
      <xsd:simpleType>
        <xsd:restriction base="dms:Choice">
          <xsd:enumeration value="All: Read and write for all"/>
          <xsd:enumeration value="Public: Read for all, write dept."/>
          <xsd:enumeration value="Department: Read and write for dept."/>
          <xsd:enumeration value="Team: Read and write team and office"/>
        </xsd:restriction>
      </xsd:simpleType>
    </xsd:element>
    <xsd:element name="fraNotifyUsers" ma:index="21" nillable="true" ma:displayName="Notify Users" ma:SearchPeopleOnly="false" ma:SharePointGroup="0" ma:internalName="fraNotify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f1c324123540189b9acbfd4c3c0c9f" ma:index="22" nillable="true" ma:taxonomy="true" ma:internalName="p7f1c324123540189b9acbfd4c3c0c9f" ma:taxonomyFieldName="fraDepartmentSiteMM" ma:displayName="Department Site" ma:fieldId="{97f1c324-1235-4018-9b9a-cbfd4c3c0c9f}" ma:sspId="72f02d29-08ed-4ba3-8631-04ec787fba6c" ma:termSetId="aa0ff7a7-3540-4e64-be67-7ad32f528147" ma:anchorId="00000000-0000-0000-0000-000000000000" ma:open="true" ma:isKeyword="false">
      <xsd:complexType>
        <xsd:sequence>
          <xsd:element ref="pc:Terms" minOccurs="0" maxOccurs="1"/>
        </xsd:sequence>
      </xsd:complexType>
    </xsd:element>
    <xsd:element name="TaxCatchAll" ma:index="23" nillable="true" ma:displayName="Taxonomy Catch All Column" ma:hidden="true" ma:list="{c66506aa-e50b-4570-8211-41edbd73317f}" ma:internalName="TaxCatchAll" ma:showField="CatchAllData"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c66506aa-e50b-4570-8211-41edbd73317f}" ma:internalName="TaxCatchAllLabel" ma:readOnly="true" ma:showField="CatchAllDataLabel"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a124740cd92e4dadad95111afe7812a8" ma:index="26" nillable="true" ma:taxonomy="true" ma:internalName="a124740cd92e4dadad95111afe7812a8" ma:taxonomyFieldName="fraTeamSiteMM" ma:displayName="Team Site" ma:fieldId="{a124740c-d92e-4dad-ad95-111afe7812a8}" ma:sspId="72f02d29-08ed-4ba3-8631-04ec787fba6c" ma:termSetId="61467fca-faea-4e13-beb7-3f23b7afbc5d" ma:anchorId="00000000-0000-0000-0000-000000000000" ma:open="true" ma:isKeyword="false">
      <xsd:complexType>
        <xsd:sequence>
          <xsd:element ref="pc:Terms" minOccurs="0" maxOccurs="1"/>
        </xsd:sequence>
      </xsd:complexType>
    </xsd:element>
    <xsd:element name="d2a9ab7d3e1d411c9977f17465ad34bc" ma:index="28" nillable="true" ma:taxonomy="true" ma:internalName="d2a9ab7d3e1d411c9977f17465ad34bc" ma:taxonomyFieldName="fraThematicTeamMM" ma:displayName="Thematic Team" ma:fieldId="{d2a9ab7d-3e1d-411c-9977-f17465ad34bc}" ma:taxonomyMulti="true" ma:sspId="72f02d29-08ed-4ba3-8631-04ec787fba6c" ma:termSetId="ef6ef7a0-4f25-4e4e-861b-3ca23b4ab8b7" ma:anchorId="00000000-0000-0000-0000-000000000000" ma:open="true" ma:isKeyword="false">
      <xsd:complexType>
        <xsd:sequence>
          <xsd:element ref="pc:Terms" minOccurs="0" maxOccurs="1"/>
        </xsd:sequence>
      </xsd:complexType>
    </xsd:element>
    <xsd:element name="_dlc_DocId" ma:index="30" nillable="true" ma:displayName="Document ID Value" ma:description="The value of the document ID assigned to this item."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element name="i5ce7087b5204814a0029bd9f29ccc90" ma:index="33" ma:taxonomy="true" ma:internalName="i5ce7087b5204814a0029bd9f29ccc90" ma:taxonomyFieldName="fraYearMM" ma:displayName="Year" ma:default="798;#2014|8baaa8f3-44c5-4089-92a3-b846a70ffb40" ma:fieldId="{25ce7087-b520-4814-a002-9bd9f29ccc90}" ma:sspId="72f02d29-08ed-4ba3-8631-04ec787fba6c" ma:termSetId="4447fd88-b4bf-4405-954c-7961506ae7cf" ma:anchorId="00000000-0000-0000-0000-000000000000" ma:open="false" ma:isKeyword="false">
      <xsd:complexType>
        <xsd:sequence>
          <xsd:element ref="pc:Terms" minOccurs="0" maxOccurs="1"/>
        </xsd:sequence>
      </xsd:complexType>
    </xsd:element>
    <xsd:element name="mdeec99bc533490b81a6209a84eb0481" ma:index="35" nillable="true" ma:taxonomy="true" ma:internalName="mdeec99bc533490b81a6209a84eb0481" ma:taxonomyFieldName="fraGroupByMM" ma:displayName="Group By" ma:fieldId="{6deec99b-c533-490b-81a6-209a84eb0481}" ma:sspId="72f02d29-08ed-4ba3-8631-04ec787fba6c" ma:termSetId="f83db675-88ec-4534-99fb-532160977408"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2B5EF-DECE-4578-9709-AF529E3B1A2E}">
  <ds:schemaRefs>
    <ds:schemaRef ds:uri="http://schemas.openxmlformats.org/package/2006/metadata/core-properties"/>
    <ds:schemaRef ds:uri="http://purl.org/dc/terms/"/>
    <ds:schemaRef ds:uri="http://www.w3.org/XML/1998/namespace"/>
    <ds:schemaRef ds:uri="http://schemas.microsoft.com/office/2006/metadata/properties"/>
    <ds:schemaRef ds:uri="http://purl.org/dc/elements/1.1/"/>
    <ds:schemaRef ds:uri="http://schemas.microsoft.com/office/infopath/2007/PartnerControls"/>
    <ds:schemaRef ds:uri="http://schemas.microsoft.com/office/2006/documentManagement/types"/>
    <ds:schemaRef ds:uri="16097700-bd0a-4b4b-83d5-90842b5175e0"/>
    <ds:schemaRef ds:uri="http://schemas.microsoft.com/sharepoint/v3"/>
    <ds:schemaRef ds:uri="http://purl.org/dc/dcmitype/"/>
  </ds:schemaRefs>
</ds:datastoreItem>
</file>

<file path=customXml/itemProps2.xml><?xml version="1.0" encoding="utf-8"?>
<ds:datastoreItem xmlns:ds="http://schemas.openxmlformats.org/officeDocument/2006/customXml" ds:itemID="{7B949605-D464-4AAD-BC24-7880853B22C6}">
  <ds:schemaRefs>
    <ds:schemaRef ds:uri="http://schemas.microsoft.com/sharepoint/v3/contenttype/forms"/>
  </ds:schemaRefs>
</ds:datastoreItem>
</file>

<file path=customXml/itemProps3.xml><?xml version="1.0" encoding="utf-8"?>
<ds:datastoreItem xmlns:ds="http://schemas.openxmlformats.org/officeDocument/2006/customXml" ds:itemID="{A90A9E34-7DA6-4DE5-A8BE-88E75D9FD0F3}">
  <ds:schemaRefs>
    <ds:schemaRef ds:uri="http://schemas.microsoft.com/sharepoint/events"/>
  </ds:schemaRefs>
</ds:datastoreItem>
</file>

<file path=customXml/itemProps4.xml><?xml version="1.0" encoding="utf-8"?>
<ds:datastoreItem xmlns:ds="http://schemas.openxmlformats.org/officeDocument/2006/customXml" ds:itemID="{24D26297-73D6-4F68-81AA-424D5E859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097700-bd0a-4b4b-83d5-90842b517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045A3F-124D-47F8-90A6-73DC2B650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3187</Words>
  <Characters>18171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Final country tables clean versions </vt:lpstr>
    </vt:vector>
  </TitlesOfParts>
  <Company>European Union Fundamental Rights Agency</Company>
  <LinksUpToDate>false</LinksUpToDate>
  <CharactersWithSpaces>21316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country tables clean versions</dc:title>
  <dc:creator>STICKINGS Martha (FRA)</dc:creator>
  <cp:lastModifiedBy>GRANELLI Alessandra (FRA)</cp:lastModifiedBy>
  <cp:revision>2</cp:revision>
  <cp:lastPrinted>2013-05-31T11:42:00Z</cp:lastPrinted>
  <dcterms:created xsi:type="dcterms:W3CDTF">2014-07-09T14:44:00Z</dcterms:created>
  <dcterms:modified xsi:type="dcterms:W3CDTF">2014-07-09T14:44:00Z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0x010100B25C37F7E1067945B5F92594F3F8F6660300CE9BB0943C915B4DB9FD0CCD774ECB19</vt:lpwstr>
  </property>
  <property fmtid="{D5CDD505-2E9C-101B-9397-08002B2CF9AE}" pid="3" name="_dlc_DocIdItemGuid">
    <vt:lpwstr>3f4076d9-4445-4501-87d3-0d92c8325fc5</vt:lpwstr>
  </property>
  <property fmtid="{D5CDD505-2E9C-101B-9397-08002B2CF9AE}" pid="4" name="fraContentLanguageMM">
    <vt:lpwstr>11;#English|2d2b19a9-1f9f-48bb-ac48-c1a45d7d0217</vt:lpwstr>
  </property>
  <property fmtid="{D5CDD505-2E9C-101B-9397-08002B2CF9AE}" pid="5" name="fraYearMM">
    <vt:lpwstr>772;#2013|89100c69-8623-4b50-bafc-39dac4cd6adf</vt:lpwstr>
  </property>
  <property fmtid="{D5CDD505-2E9C-101B-9397-08002B2CF9AE}" pid="6" name="fraThematicTeamMM">
    <vt:lpwstr/>
  </property>
  <property fmtid="{D5CDD505-2E9C-101B-9397-08002B2CF9AE}" pid="7" name="fraTagsMM">
    <vt:lpwstr/>
  </property>
  <property fmtid="{D5CDD505-2E9C-101B-9397-08002B2CF9AE}" pid="8" name="fraMatrixProject">
    <vt:lpwstr>3665;#2012-ECR-07 - Indicators on political participation of persons with disabilities|3ba2f83a-f807-452a-a4c3-e61dab7d65c2</vt:lpwstr>
  </property>
  <property fmtid="{D5CDD505-2E9C-101B-9397-08002B2CF9AE}" pid="9" name="Order">
    <vt:r8>2000</vt:r8>
  </property>
  <property fmtid="{D5CDD505-2E9C-101B-9397-08002B2CF9AE}" pid="10" name="fraDepartmentSiteMM">
    <vt:lpwstr>3063;#Research|63c432e6-ebe7-4030-9f7b-2bd4d556aa4a</vt:lpwstr>
  </property>
</Properties>
</file>