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EA2AB"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bookmarkStart w:id="0" w:name="_GoBack"/>
      <w:bookmarkEnd w:id="0"/>
    </w:p>
    <w:p w14:paraId="7F6EA2AC"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AD"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AE"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AF"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B0"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B1" w14:textId="015B8F2F" w:rsidR="00E54542" w:rsidRPr="00EA6830" w:rsidRDefault="0022364F" w:rsidP="00E54542">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AT – Country information</w:t>
      </w:r>
    </w:p>
    <w:p w14:paraId="7F6EA2B2" w14:textId="77777777" w:rsidR="00E54542" w:rsidRPr="00EA6830" w:rsidRDefault="00E54542" w:rsidP="00E54542">
      <w:pPr>
        <w:spacing w:after="0" w:line="240" w:lineRule="auto"/>
        <w:jc w:val="right"/>
        <w:rPr>
          <w:rFonts w:ascii="Verdana" w:eastAsia="Calibri" w:hAnsi="Verdana" w:cs="Times New Roman"/>
          <w:sz w:val="40"/>
          <w:szCs w:val="20"/>
          <w:lang w:val="en-GB" w:bidi="en-US"/>
        </w:rPr>
      </w:pPr>
    </w:p>
    <w:p w14:paraId="7F6EA2B3" w14:textId="77777777" w:rsidR="00E54542" w:rsidRPr="00EA6830" w:rsidRDefault="00E54542" w:rsidP="00E54542">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w:t>
      </w:r>
      <w:r w:rsidR="00331306" w:rsidRPr="00EA6830">
        <w:rPr>
          <w:rFonts w:ascii="Verdana" w:eastAsia="Calibri" w:hAnsi="Verdana" w:cs="Times New Roman"/>
          <w:sz w:val="40"/>
          <w:szCs w:val="20"/>
          <w:lang w:val="en-GB" w:bidi="en-US"/>
        </w:rPr>
        <w:t>tors on political participation</w:t>
      </w:r>
    </w:p>
    <w:p w14:paraId="7F6EA2B4" w14:textId="46BD3027" w:rsidR="00E54542" w:rsidRPr="00EA6830" w:rsidRDefault="009C4428" w:rsidP="00E54542">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00E54542" w:rsidRPr="00EA6830">
        <w:rPr>
          <w:rFonts w:ascii="Verdana" w:eastAsia="Calibri" w:hAnsi="Verdana" w:cs="Times New Roman"/>
          <w:sz w:val="40"/>
          <w:szCs w:val="20"/>
          <w:lang w:val="en-GB" w:bidi="en-US"/>
        </w:rPr>
        <w:t>persons with disabilities</w:t>
      </w:r>
    </w:p>
    <w:p w14:paraId="7F6EA2B5"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7F6EA2B6" w14:textId="5518AF12" w:rsidR="00E54542" w:rsidRPr="00F72DCD" w:rsidRDefault="00F72DCD" w:rsidP="00E54542">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7F6EA2B7" w14:textId="77777777" w:rsidR="00E54542" w:rsidRPr="00EA6830" w:rsidRDefault="00E54542" w:rsidP="00E54542">
      <w:pPr>
        <w:spacing w:after="0" w:line="240" w:lineRule="auto"/>
        <w:jc w:val="right"/>
        <w:rPr>
          <w:rFonts w:ascii="Verdana" w:eastAsia="Calibri" w:hAnsi="Verdana" w:cs="Times New Roman"/>
          <w:sz w:val="20"/>
          <w:szCs w:val="20"/>
          <w:lang w:val="en-GB" w:bidi="en-US"/>
        </w:rPr>
      </w:pPr>
    </w:p>
    <w:p w14:paraId="324BC28D" w14:textId="492CBE55" w:rsidR="00F72DCD" w:rsidRDefault="00B510C6" w:rsidP="00B510C6">
      <w:pPr>
        <w:pStyle w:val="FRAHeading1"/>
        <w:rPr>
          <w:rFonts w:ascii="Verdana" w:hAnsi="Verdana"/>
          <w:sz w:val="20"/>
          <w:szCs w:val="20"/>
          <w:lang w:val="en-IE"/>
        </w:rPr>
      </w:pPr>
      <w:r w:rsidRPr="00B510C6">
        <w:rPr>
          <w:rFonts w:ascii="Verdana" w:hAnsi="Verdana"/>
          <w:sz w:val="20"/>
          <w:szCs w:val="20"/>
          <w:lang w:val="en-IE"/>
        </w:rPr>
        <w:t xml:space="preserve">DISCLAIMER: </w:t>
      </w:r>
      <w:r w:rsidR="00F72DCD">
        <w:rPr>
          <w:rFonts w:ascii="Verdana" w:hAnsi="Verdana"/>
          <w:sz w:val="20"/>
          <w:szCs w:val="20"/>
          <w:lang w:val="en-IE"/>
        </w:rPr>
        <w:t xml:space="preserve">The background country information reports contain background material for the </w:t>
      </w:r>
      <w:r w:rsidR="00F72DCD" w:rsidRPr="00B510C6">
        <w:rPr>
          <w:rFonts w:ascii="Verdana" w:hAnsi="Verdana"/>
          <w:sz w:val="20"/>
          <w:szCs w:val="20"/>
          <w:lang w:val="en-IE"/>
        </w:rPr>
        <w:t xml:space="preserve">comparative report on </w:t>
      </w:r>
      <w:r w:rsidR="00F72DCD">
        <w:rPr>
          <w:rFonts w:ascii="Verdana" w:hAnsi="Verdana"/>
          <w:i/>
          <w:iCs/>
          <w:sz w:val="20"/>
          <w:szCs w:val="20"/>
          <w:lang w:val="en-IE"/>
        </w:rPr>
        <w:t xml:space="preserve">The right to political participation for persons with disabilities: human rights indicators </w:t>
      </w:r>
      <w:r w:rsidR="00F72DCD">
        <w:rPr>
          <w:rFonts w:ascii="Verdana" w:hAnsi="Verdana"/>
          <w:sz w:val="20"/>
          <w:szCs w:val="20"/>
          <w:lang w:val="en-IE"/>
        </w:rPr>
        <w:t xml:space="preserve">by </w:t>
      </w:r>
      <w:r w:rsidR="00F72DCD" w:rsidRPr="00B510C6">
        <w:rPr>
          <w:rFonts w:ascii="Verdana" w:hAnsi="Verdana"/>
          <w:sz w:val="20"/>
          <w:szCs w:val="20"/>
          <w:lang w:val="en-IE"/>
        </w:rPr>
        <w:t xml:space="preserve">the European Union Agency for Fundamental Rights </w:t>
      </w:r>
      <w:r w:rsidR="00F72DCD">
        <w:rPr>
          <w:rFonts w:ascii="Verdana" w:hAnsi="Verdana"/>
          <w:sz w:val="20"/>
          <w:szCs w:val="20"/>
          <w:lang w:val="en-IE"/>
        </w:rPr>
        <w:t xml:space="preserve">(FRA). The bulk of the information in the background country information reports </w:t>
      </w:r>
      <w:r w:rsidR="00940D20">
        <w:rPr>
          <w:rFonts w:ascii="Verdana" w:hAnsi="Verdana"/>
          <w:sz w:val="20"/>
          <w:szCs w:val="20"/>
          <w:lang w:val="en-IE"/>
        </w:rPr>
        <w:t xml:space="preserve">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sidR="00F72DCD">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289B984D" w14:textId="77777777" w:rsidR="00F72DCD" w:rsidRDefault="00F72DCD" w:rsidP="00B510C6">
      <w:pPr>
        <w:pStyle w:val="FRAHeading1"/>
        <w:rPr>
          <w:rFonts w:ascii="Verdana" w:hAnsi="Verdana"/>
          <w:sz w:val="20"/>
          <w:szCs w:val="20"/>
          <w:lang w:val="en-IE"/>
        </w:rPr>
      </w:pPr>
    </w:p>
    <w:p w14:paraId="7F6EA2BA" w14:textId="35B520E7" w:rsidR="00C95E57" w:rsidRPr="00B510C6" w:rsidRDefault="00F72DCD" w:rsidP="00B510C6">
      <w:pPr>
        <w:pStyle w:val="FRAHeading1"/>
        <w:rPr>
          <w:rFonts w:ascii="Verdana" w:hAnsi="Verdana"/>
          <w:sz w:val="20"/>
          <w:szCs w:val="20"/>
          <w:lang w:val="en-IE"/>
        </w:rPr>
      </w:pPr>
      <w:r>
        <w:rPr>
          <w:rFonts w:ascii="Verdana" w:hAnsi="Verdana"/>
          <w:sz w:val="20"/>
          <w:szCs w:val="20"/>
          <w:lang w:val="en-IE"/>
        </w:rPr>
        <w:t xml:space="preserve">FRANET contractor: </w:t>
      </w:r>
      <w:r w:rsidRPr="00F72DCD">
        <w:rPr>
          <w:rFonts w:ascii="Verdana" w:hAnsi="Verdana"/>
          <w:sz w:val="20"/>
          <w:szCs w:val="20"/>
          <w:lang w:val="en-IE"/>
        </w:rPr>
        <w:t>European Training and Research Centre for Human Rights and Democracy</w:t>
      </w:r>
      <w:r w:rsidR="00E54542" w:rsidRPr="00EA6830">
        <w:rPr>
          <w:rFonts w:ascii="Verdana" w:hAnsi="Verdana"/>
          <w:sz w:val="20"/>
          <w:szCs w:val="20"/>
        </w:rPr>
        <w:br w:type="page"/>
      </w:r>
      <w:r w:rsidR="00933DB5">
        <w:rPr>
          <w:rFonts w:ascii="Verdana" w:hAnsi="Verdana"/>
          <w:b/>
          <w:sz w:val="24"/>
          <w:szCs w:val="24"/>
        </w:rPr>
        <w:lastRenderedPageBreak/>
        <w:t>STRUCTURE INDICATORS</w:t>
      </w:r>
    </w:p>
    <w:tbl>
      <w:tblPr>
        <w:tblStyle w:val="TableGrid"/>
        <w:tblW w:w="4720" w:type="pct"/>
        <w:tblLayout w:type="fixed"/>
        <w:tblLook w:val="04A0" w:firstRow="1" w:lastRow="0" w:firstColumn="1" w:lastColumn="0" w:noHBand="0" w:noVBand="1"/>
      </w:tblPr>
      <w:tblGrid>
        <w:gridCol w:w="5034"/>
        <w:gridCol w:w="8346"/>
      </w:tblGrid>
      <w:tr w:rsidR="004F70B0" w:rsidRPr="00EA6830" w14:paraId="7F6EA2C0" w14:textId="77777777" w:rsidTr="004F70B0">
        <w:trPr>
          <w:trHeight w:val="454"/>
        </w:trPr>
        <w:tc>
          <w:tcPr>
            <w:tcW w:w="1881" w:type="pct"/>
            <w:shd w:val="clear" w:color="auto" w:fill="C6D9F1" w:themeFill="text2" w:themeFillTint="33"/>
            <w:vAlign w:val="center"/>
          </w:tcPr>
          <w:p w14:paraId="7F6EA2BC" w14:textId="77777777" w:rsidR="004F70B0" w:rsidRPr="00EA6830" w:rsidRDefault="004F70B0" w:rsidP="007A4C35">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Structure indicators</w:t>
            </w:r>
          </w:p>
        </w:tc>
        <w:tc>
          <w:tcPr>
            <w:tcW w:w="3119" w:type="pct"/>
            <w:shd w:val="clear" w:color="auto" w:fill="C6D9F1" w:themeFill="text2" w:themeFillTint="33"/>
            <w:vAlign w:val="center"/>
          </w:tcPr>
          <w:p w14:paraId="7F6EA2BF" w14:textId="77777777" w:rsidR="004F70B0" w:rsidRPr="00EA6830" w:rsidRDefault="004F70B0" w:rsidP="007A4C35">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Source and supporting information</w:t>
            </w:r>
          </w:p>
        </w:tc>
      </w:tr>
      <w:tr w:rsidR="004F70B0" w:rsidRPr="00EA6830" w14:paraId="34E67572" w14:textId="77777777" w:rsidTr="004F70B0">
        <w:trPr>
          <w:trHeight w:val="1238"/>
        </w:trPr>
        <w:tc>
          <w:tcPr>
            <w:tcW w:w="1881" w:type="pct"/>
            <w:vAlign w:val="center"/>
          </w:tcPr>
          <w:p w14:paraId="68EA50ED" w14:textId="475D97FC" w:rsidR="004F70B0" w:rsidRPr="00EA6830" w:rsidRDefault="004F70B0" w:rsidP="00621387">
            <w:pPr>
              <w:rPr>
                <w:rFonts w:ascii="Verdana" w:hAnsi="Verdana" w:cs="Times New Roman"/>
                <w:sz w:val="20"/>
                <w:szCs w:val="20"/>
              </w:rPr>
            </w:pPr>
            <w:r>
              <w:rPr>
                <w:rFonts w:ascii="Verdana" w:hAnsi="Verdana"/>
                <w:sz w:val="20"/>
                <w:szCs w:val="20"/>
              </w:rPr>
              <w:t xml:space="preserve">Has Austria </w:t>
            </w:r>
            <w:r w:rsidRPr="00EA6830">
              <w:rPr>
                <w:rFonts w:ascii="Verdana" w:hAnsi="Verdana"/>
                <w:sz w:val="20"/>
                <w:szCs w:val="20"/>
              </w:rPr>
              <w:t>ratified the CRPD without a reservation to Article 29? Please give details of any reservation.</w:t>
            </w:r>
          </w:p>
        </w:tc>
        <w:tc>
          <w:tcPr>
            <w:tcW w:w="3119" w:type="pct"/>
            <w:shd w:val="clear" w:color="auto" w:fill="auto"/>
            <w:vAlign w:val="center"/>
          </w:tcPr>
          <w:p w14:paraId="6BA50610" w14:textId="747A921F" w:rsidR="004F70B0" w:rsidRPr="00EA6830" w:rsidRDefault="004F70B0" w:rsidP="00A81C15">
            <w:pPr>
              <w:spacing w:before="240"/>
              <w:contextualSpacing/>
              <w:jc w:val="both"/>
              <w:rPr>
                <w:rFonts w:ascii="Verdana" w:eastAsia="Calibri" w:hAnsi="Verdana" w:cs="Times New Roman"/>
                <w:sz w:val="20"/>
                <w:szCs w:val="20"/>
                <w:lang w:val="en-GB"/>
              </w:rPr>
            </w:pPr>
            <w:r w:rsidRPr="00EA6830">
              <w:rPr>
                <w:rFonts w:ascii="Verdana" w:hAnsi="Verdana"/>
                <w:sz w:val="20"/>
                <w:szCs w:val="20"/>
              </w:rPr>
              <w:t>Yes, 26 September 2008</w:t>
            </w:r>
            <w:r w:rsidRPr="00EA6830">
              <w:rPr>
                <w:rStyle w:val="FootnoteReference"/>
                <w:rFonts w:ascii="Verdana" w:hAnsi="Verdana"/>
                <w:sz w:val="20"/>
                <w:szCs w:val="20"/>
              </w:rPr>
              <w:footnoteReference w:id="2"/>
            </w:r>
          </w:p>
        </w:tc>
      </w:tr>
      <w:tr w:rsidR="004F70B0" w:rsidRPr="00EA6830" w14:paraId="2347DD26" w14:textId="77777777" w:rsidTr="004F70B0">
        <w:trPr>
          <w:trHeight w:val="1397"/>
        </w:trPr>
        <w:tc>
          <w:tcPr>
            <w:tcW w:w="1881" w:type="pct"/>
            <w:vAlign w:val="center"/>
          </w:tcPr>
          <w:p w14:paraId="4AC1DF1D" w14:textId="4819D2C7" w:rsidR="004F70B0" w:rsidRPr="00EA6830" w:rsidRDefault="004F70B0" w:rsidP="00621387">
            <w:pPr>
              <w:rPr>
                <w:rFonts w:ascii="Verdana" w:hAnsi="Verdana" w:cs="Times New Roman"/>
                <w:sz w:val="20"/>
                <w:szCs w:val="20"/>
              </w:rPr>
            </w:pPr>
            <w:r w:rsidRPr="00EA6830">
              <w:rPr>
                <w:rFonts w:ascii="Verdana" w:hAnsi="Verdana"/>
                <w:sz w:val="20"/>
                <w:szCs w:val="20"/>
              </w:rPr>
              <w:t xml:space="preserve">Has </w:t>
            </w:r>
            <w:r>
              <w:rPr>
                <w:rFonts w:ascii="Verdana" w:hAnsi="Verdana"/>
                <w:sz w:val="20"/>
                <w:szCs w:val="20"/>
              </w:rPr>
              <w:t xml:space="preserve">Austria </w:t>
            </w:r>
            <w:r w:rsidRPr="00EA6830">
              <w:rPr>
                <w:rFonts w:ascii="Verdana" w:hAnsi="Verdana"/>
                <w:sz w:val="20"/>
                <w:szCs w:val="20"/>
              </w:rPr>
              <w:t>ratified the CRPD without a reservation to Article 12? Please give details of any reservation.</w:t>
            </w:r>
          </w:p>
        </w:tc>
        <w:tc>
          <w:tcPr>
            <w:tcW w:w="3119" w:type="pct"/>
            <w:shd w:val="clear" w:color="auto" w:fill="auto"/>
            <w:vAlign w:val="center"/>
          </w:tcPr>
          <w:p w14:paraId="26804E48" w14:textId="1D44B5FC" w:rsidR="004F70B0" w:rsidRPr="00EA6830" w:rsidRDefault="004F70B0" w:rsidP="00A81C15">
            <w:pPr>
              <w:spacing w:before="240"/>
              <w:contextualSpacing/>
              <w:jc w:val="both"/>
              <w:rPr>
                <w:rFonts w:ascii="Verdana" w:eastAsia="Calibri" w:hAnsi="Verdana" w:cs="Times New Roman"/>
                <w:sz w:val="20"/>
                <w:szCs w:val="20"/>
                <w:lang w:val="en-GB"/>
              </w:rPr>
            </w:pPr>
            <w:r w:rsidRPr="00EA6830">
              <w:rPr>
                <w:rFonts w:ascii="Verdana" w:hAnsi="Verdana"/>
                <w:sz w:val="20"/>
                <w:szCs w:val="20"/>
              </w:rPr>
              <w:t>Yes, 26 September 2008</w:t>
            </w:r>
            <w:r w:rsidRPr="00EA6830">
              <w:rPr>
                <w:rStyle w:val="FootnoteReference"/>
                <w:rFonts w:ascii="Verdana" w:hAnsi="Verdana"/>
                <w:sz w:val="20"/>
                <w:szCs w:val="20"/>
              </w:rPr>
              <w:footnoteReference w:id="3"/>
            </w:r>
          </w:p>
        </w:tc>
      </w:tr>
      <w:tr w:rsidR="004F70B0" w:rsidRPr="00EA6830" w14:paraId="6E3FDBDA" w14:textId="77777777" w:rsidTr="004F70B0">
        <w:trPr>
          <w:trHeight w:val="835"/>
        </w:trPr>
        <w:tc>
          <w:tcPr>
            <w:tcW w:w="1881" w:type="pct"/>
            <w:vAlign w:val="center"/>
          </w:tcPr>
          <w:p w14:paraId="38B0CEB7" w14:textId="28C94F44" w:rsidR="004F70B0" w:rsidRPr="00EA6830" w:rsidRDefault="004F70B0" w:rsidP="00621387">
            <w:pPr>
              <w:rPr>
                <w:rFonts w:ascii="Verdana" w:hAnsi="Verdana" w:cs="Times New Roman"/>
                <w:sz w:val="20"/>
                <w:szCs w:val="20"/>
              </w:rPr>
            </w:pPr>
            <w:r w:rsidRPr="00EA6830">
              <w:rPr>
                <w:rFonts w:ascii="Verdana" w:hAnsi="Verdana"/>
                <w:sz w:val="20"/>
                <w:szCs w:val="20"/>
              </w:rPr>
              <w:t xml:space="preserve">Has </w:t>
            </w:r>
            <w:r>
              <w:rPr>
                <w:rFonts w:ascii="Verdana" w:hAnsi="Verdana"/>
                <w:sz w:val="20"/>
                <w:szCs w:val="20"/>
              </w:rPr>
              <w:t xml:space="preserve">Austria </w:t>
            </w:r>
            <w:r w:rsidRPr="00EA6830">
              <w:rPr>
                <w:rFonts w:ascii="Verdana" w:hAnsi="Verdana"/>
                <w:sz w:val="20"/>
                <w:szCs w:val="20"/>
              </w:rPr>
              <w:t>ratified the CRPD without a reservation to Article 9? Please give details of any reservation.</w:t>
            </w:r>
          </w:p>
        </w:tc>
        <w:tc>
          <w:tcPr>
            <w:tcW w:w="3119" w:type="pct"/>
            <w:shd w:val="clear" w:color="auto" w:fill="auto"/>
            <w:vAlign w:val="center"/>
          </w:tcPr>
          <w:p w14:paraId="6C9A15B6" w14:textId="41A8011A" w:rsidR="004F70B0" w:rsidRPr="00EA6830" w:rsidRDefault="004F70B0" w:rsidP="00A81C15">
            <w:pPr>
              <w:spacing w:before="240"/>
              <w:contextualSpacing/>
              <w:jc w:val="both"/>
              <w:rPr>
                <w:rFonts w:ascii="Verdana" w:eastAsia="Calibri" w:hAnsi="Verdana" w:cs="Times New Roman"/>
                <w:sz w:val="20"/>
                <w:szCs w:val="20"/>
                <w:lang w:val="en-GB"/>
              </w:rPr>
            </w:pPr>
            <w:r w:rsidRPr="00EA6830">
              <w:rPr>
                <w:rFonts w:ascii="Verdana" w:hAnsi="Verdana"/>
                <w:sz w:val="20"/>
                <w:szCs w:val="20"/>
              </w:rPr>
              <w:t>Yes, 26 September 2008</w:t>
            </w:r>
            <w:r w:rsidRPr="00EA6830">
              <w:rPr>
                <w:rStyle w:val="FootnoteReference"/>
                <w:rFonts w:ascii="Verdana" w:hAnsi="Verdana"/>
                <w:sz w:val="20"/>
                <w:szCs w:val="20"/>
              </w:rPr>
              <w:footnoteReference w:id="4"/>
            </w:r>
          </w:p>
        </w:tc>
      </w:tr>
      <w:tr w:rsidR="004F70B0" w:rsidRPr="00EA6830" w14:paraId="7F6EA2CE" w14:textId="77777777" w:rsidTr="004F70B0">
        <w:trPr>
          <w:trHeight w:val="4381"/>
        </w:trPr>
        <w:tc>
          <w:tcPr>
            <w:tcW w:w="1881" w:type="pct"/>
            <w:vAlign w:val="center"/>
          </w:tcPr>
          <w:p w14:paraId="7F6EA2C2" w14:textId="77777777" w:rsidR="004F70B0" w:rsidRPr="00EA6830" w:rsidRDefault="004F70B0" w:rsidP="00544276">
            <w:pPr>
              <w:rPr>
                <w:rFonts w:ascii="Verdana" w:hAnsi="Verdana" w:cs="Times New Roman"/>
                <w:sz w:val="20"/>
                <w:szCs w:val="20"/>
              </w:rPr>
            </w:pPr>
            <w:r w:rsidRPr="00EA6830">
              <w:rPr>
                <w:rFonts w:ascii="Verdana" w:hAnsi="Verdana" w:cs="Times New Roman"/>
                <w:sz w:val="20"/>
                <w:szCs w:val="20"/>
              </w:rPr>
              <w:lastRenderedPageBreak/>
              <w:t>Please indicate the legislation which applies to European Parliament and municipal elections in your country. Please highlight possible amendments in view of the 2014 European Parliament elections.</w:t>
            </w:r>
          </w:p>
          <w:p w14:paraId="7F6EA2C3" w14:textId="77777777" w:rsidR="004F70B0" w:rsidRPr="00EA6830" w:rsidRDefault="004F70B0" w:rsidP="00544276">
            <w:pPr>
              <w:rPr>
                <w:rFonts w:ascii="Verdana" w:hAnsi="Verdana" w:cs="Times New Roman"/>
                <w:sz w:val="20"/>
                <w:szCs w:val="20"/>
              </w:rPr>
            </w:pPr>
          </w:p>
          <w:p w14:paraId="7F6EA2C4" w14:textId="77777777" w:rsidR="004F70B0" w:rsidRPr="00EA6830" w:rsidRDefault="004F70B0" w:rsidP="00544276">
            <w:pPr>
              <w:rPr>
                <w:rFonts w:ascii="Verdana" w:hAnsi="Verdana" w:cs="Times New Roman"/>
                <w:sz w:val="20"/>
                <w:szCs w:val="20"/>
                <w:highlight w:val="lightGray"/>
              </w:rPr>
            </w:pPr>
            <w:r w:rsidRPr="00EA6830">
              <w:rPr>
                <w:rFonts w:ascii="Verdana" w:hAnsi="Verdana" w:cs="Times New Roman"/>
                <w:sz w:val="20"/>
                <w:szCs w:val="20"/>
              </w:rPr>
              <w:t>Does the same law apply for national, federal, local and regional elections, and referendums?</w:t>
            </w:r>
          </w:p>
        </w:tc>
        <w:tc>
          <w:tcPr>
            <w:tcW w:w="3119" w:type="pct"/>
            <w:vAlign w:val="center"/>
          </w:tcPr>
          <w:p w14:paraId="7F6EA2C7" w14:textId="77777777" w:rsidR="004F70B0" w:rsidRPr="00EA6830" w:rsidRDefault="004F70B0" w:rsidP="00A81C15">
            <w:pPr>
              <w:spacing w:before="240"/>
              <w:contextualSpacing/>
              <w:jc w:val="both"/>
              <w:rPr>
                <w:rFonts w:ascii="Verdana" w:eastAsia="Calibri" w:hAnsi="Verdana" w:cs="Times New Roman"/>
                <w:sz w:val="20"/>
                <w:szCs w:val="20"/>
                <w:lang w:val="en-US"/>
              </w:rPr>
            </w:pPr>
            <w:r w:rsidRPr="00EA6830">
              <w:rPr>
                <w:rFonts w:ascii="Verdana" w:eastAsia="Calibri" w:hAnsi="Verdana" w:cs="Times New Roman"/>
                <w:sz w:val="20"/>
                <w:szCs w:val="20"/>
                <w:lang w:val="en-GB"/>
              </w:rPr>
              <w:t xml:space="preserve">In Austria </w:t>
            </w:r>
            <w:r w:rsidRPr="00EA6830">
              <w:rPr>
                <w:rFonts w:ascii="Verdana" w:eastAsia="Calibri" w:hAnsi="Verdana" w:cs="Times New Roman"/>
                <w:sz w:val="20"/>
                <w:szCs w:val="20"/>
                <w:lang w:val="en-US"/>
              </w:rPr>
              <w:t xml:space="preserve">different laws regulate European, federal, regional and local elections. </w:t>
            </w:r>
          </w:p>
          <w:p w14:paraId="7F6EA2C8" w14:textId="77777777" w:rsidR="004F70B0" w:rsidRPr="00EA6830" w:rsidRDefault="004F70B0" w:rsidP="00A81C15">
            <w:pPr>
              <w:spacing w:before="240"/>
              <w:contextualSpacing/>
              <w:jc w:val="both"/>
              <w:rPr>
                <w:rFonts w:ascii="Verdana" w:eastAsia="Calibri" w:hAnsi="Verdana" w:cs="Times New Roman"/>
                <w:sz w:val="20"/>
                <w:szCs w:val="20"/>
                <w:lang w:val="en-GB"/>
              </w:rPr>
            </w:pPr>
            <w:r w:rsidRPr="00EA6830">
              <w:rPr>
                <w:rFonts w:ascii="Verdana" w:eastAsia="Calibri" w:hAnsi="Verdana" w:cs="Times New Roman"/>
                <w:sz w:val="20"/>
                <w:szCs w:val="20"/>
                <w:lang w:val="en-GB"/>
              </w:rPr>
              <w:t>The elections of the members of the European Parliament</w:t>
            </w:r>
            <w:r w:rsidRPr="00EA6830">
              <w:rPr>
                <w:rStyle w:val="FootnoteReference"/>
                <w:rFonts w:ascii="Verdana" w:eastAsia="Calibri" w:hAnsi="Verdana" w:cs="Times New Roman"/>
                <w:sz w:val="20"/>
                <w:szCs w:val="20"/>
                <w:lang w:val="en-GB"/>
              </w:rPr>
              <w:footnoteReference w:id="5"/>
            </w:r>
            <w:r w:rsidRPr="00EA6830">
              <w:rPr>
                <w:rFonts w:ascii="Verdana" w:eastAsia="Calibri" w:hAnsi="Verdana" w:cs="Times New Roman"/>
                <w:sz w:val="20"/>
                <w:szCs w:val="20"/>
                <w:lang w:val="en-GB"/>
              </w:rPr>
              <w:t xml:space="preserve"> as well as the members of the National Assembly of the Austrian Parliament</w:t>
            </w:r>
            <w:r w:rsidRPr="00EA6830">
              <w:rPr>
                <w:rStyle w:val="FootnoteReference"/>
                <w:rFonts w:ascii="Verdana" w:eastAsia="Calibri" w:hAnsi="Verdana" w:cs="Times New Roman"/>
                <w:sz w:val="20"/>
                <w:szCs w:val="20"/>
                <w:lang w:val="en-GB"/>
              </w:rPr>
              <w:footnoteReference w:id="6"/>
            </w:r>
            <w:r w:rsidRPr="00EA6830">
              <w:rPr>
                <w:rFonts w:ascii="Verdana" w:eastAsia="Calibri" w:hAnsi="Verdana" w:cs="Times New Roman"/>
                <w:sz w:val="20"/>
                <w:szCs w:val="20"/>
                <w:lang w:val="en-GB"/>
              </w:rPr>
              <w:t xml:space="preserve"> are regulated through federal law.</w:t>
            </w:r>
          </w:p>
          <w:p w14:paraId="7F6EA2C9" w14:textId="77777777" w:rsidR="004F70B0" w:rsidRPr="00EA6830" w:rsidRDefault="004F70B0" w:rsidP="00A81C15">
            <w:pPr>
              <w:spacing w:before="240"/>
              <w:contextualSpacing/>
              <w:jc w:val="both"/>
              <w:rPr>
                <w:rFonts w:ascii="Verdana" w:eastAsia="Calibri" w:hAnsi="Verdana" w:cs="Times New Roman"/>
                <w:sz w:val="20"/>
                <w:szCs w:val="20"/>
                <w:lang w:val="en-GB"/>
              </w:rPr>
            </w:pPr>
            <w:r w:rsidRPr="00EA6830">
              <w:rPr>
                <w:rFonts w:ascii="Verdana" w:eastAsia="Calibri" w:hAnsi="Verdana" w:cs="Times New Roman"/>
                <w:sz w:val="20"/>
                <w:szCs w:val="20"/>
                <w:lang w:val="en-GB"/>
              </w:rPr>
              <w:t>Municipal elections are codified in the provincial legislation of the respective province.</w:t>
            </w:r>
            <w:r w:rsidRPr="00EA6830">
              <w:rPr>
                <w:rStyle w:val="FootnoteReference"/>
                <w:rFonts w:ascii="Verdana" w:eastAsia="Calibri" w:hAnsi="Verdana" w:cs="Times New Roman"/>
                <w:sz w:val="20"/>
                <w:szCs w:val="20"/>
                <w:lang w:val="en-GB"/>
              </w:rPr>
              <w:footnoteReference w:id="7"/>
            </w:r>
            <w:r w:rsidRPr="00EA6830">
              <w:rPr>
                <w:rFonts w:ascii="Verdana" w:eastAsia="Calibri" w:hAnsi="Verdana" w:cs="Times New Roman"/>
                <w:sz w:val="20"/>
                <w:szCs w:val="20"/>
                <w:lang w:val="en-GB"/>
              </w:rPr>
              <w:t xml:space="preserve"> </w:t>
            </w:r>
          </w:p>
          <w:p w14:paraId="7F6EA2CA" w14:textId="2D5062AE" w:rsidR="004F70B0" w:rsidRPr="00EA6830" w:rsidRDefault="004F70B0" w:rsidP="00A81C15">
            <w:pPr>
              <w:spacing w:before="240"/>
              <w:contextualSpacing/>
              <w:jc w:val="both"/>
              <w:rPr>
                <w:rFonts w:ascii="Verdana" w:eastAsia="Calibri" w:hAnsi="Verdana" w:cs="Times New Roman"/>
                <w:sz w:val="20"/>
                <w:szCs w:val="20"/>
                <w:lang w:val="en-US"/>
              </w:rPr>
            </w:pPr>
            <w:r w:rsidRPr="00EA6830">
              <w:rPr>
                <w:rFonts w:ascii="Verdana" w:eastAsia="Calibri" w:hAnsi="Verdana" w:cs="Times New Roman"/>
                <w:sz w:val="20"/>
                <w:szCs w:val="20"/>
                <w:lang w:val="en-US"/>
              </w:rPr>
              <w:t>Referenda are regulated in different federal and provincial laws.</w:t>
            </w:r>
          </w:p>
          <w:p w14:paraId="7F6EA2CB" w14:textId="77777777" w:rsidR="004F70B0" w:rsidRPr="00EA6830" w:rsidRDefault="004F70B0" w:rsidP="00A81C15">
            <w:pPr>
              <w:spacing w:before="240"/>
              <w:contextualSpacing/>
              <w:jc w:val="both"/>
              <w:rPr>
                <w:rFonts w:ascii="Verdana" w:eastAsia="Calibri" w:hAnsi="Verdana" w:cs="Times New Roman"/>
                <w:sz w:val="20"/>
                <w:szCs w:val="20"/>
                <w:lang w:val="en-US"/>
              </w:rPr>
            </w:pPr>
          </w:p>
          <w:p w14:paraId="7F6EA2CD" w14:textId="72D48B5A" w:rsidR="004F70B0" w:rsidRPr="00EA6830" w:rsidRDefault="004F70B0" w:rsidP="004F70B0">
            <w:pPr>
              <w:spacing w:before="240"/>
              <w:contextualSpacing/>
              <w:jc w:val="both"/>
              <w:rPr>
                <w:rFonts w:ascii="Verdana" w:eastAsia="Calibri" w:hAnsi="Verdana" w:cs="Times New Roman"/>
                <w:sz w:val="20"/>
                <w:szCs w:val="20"/>
                <w:lang w:val="en-US"/>
              </w:rPr>
            </w:pPr>
            <w:r w:rsidRPr="00EA6830">
              <w:rPr>
                <w:rFonts w:ascii="Verdana" w:eastAsia="Calibri" w:hAnsi="Verdana" w:cs="Times New Roman"/>
                <w:sz w:val="20"/>
                <w:szCs w:val="20"/>
                <w:lang w:val="en-US"/>
              </w:rPr>
              <w:t>On 13 June 2013 the National Assembly approved an amendment of the Election to the Parliament Act (</w:t>
            </w:r>
            <w:r w:rsidRPr="00EA6830">
              <w:rPr>
                <w:rFonts w:ascii="Verdana" w:eastAsia="Calibri" w:hAnsi="Verdana" w:cs="Times New Roman"/>
                <w:i/>
                <w:sz w:val="20"/>
                <w:szCs w:val="20"/>
                <w:lang w:val="en-GB"/>
              </w:rPr>
              <w:t xml:space="preserve">Nationalratswahlordnung, NRWO, </w:t>
            </w:r>
            <w:r w:rsidRPr="00EA6830">
              <w:rPr>
                <w:rFonts w:ascii="Verdana" w:eastAsia="Calibri" w:hAnsi="Verdana" w:cs="Times New Roman"/>
                <w:sz w:val="20"/>
                <w:szCs w:val="20"/>
                <w:lang w:val="en-US"/>
              </w:rPr>
              <w:t>§79 (2)) as well as to the Election to the European Parliament Act (</w:t>
            </w:r>
            <w:r w:rsidRPr="00EA6830">
              <w:rPr>
                <w:rFonts w:ascii="Verdana" w:eastAsia="Calibri" w:hAnsi="Verdana" w:cs="Times New Roman"/>
                <w:i/>
                <w:sz w:val="20"/>
                <w:szCs w:val="20"/>
                <w:lang w:val="en-US"/>
              </w:rPr>
              <w:t xml:space="preserve">Europawahlordnung, EuWO </w:t>
            </w:r>
            <w:r w:rsidRPr="00EA6830">
              <w:rPr>
                <w:rFonts w:ascii="Verdana" w:eastAsia="Calibri" w:hAnsi="Verdana" w:cs="Times New Roman"/>
                <w:sz w:val="20"/>
                <w:szCs w:val="20"/>
                <w:lang w:val="en-US"/>
              </w:rPr>
              <w:t>§63 (2)). This amendment serves the facilitation of giving a preferential vote (</w:t>
            </w:r>
            <w:r w:rsidRPr="00EA6830">
              <w:rPr>
                <w:rFonts w:ascii="Verdana" w:eastAsia="Calibri" w:hAnsi="Verdana" w:cs="Times New Roman"/>
                <w:i/>
                <w:sz w:val="20"/>
                <w:szCs w:val="20"/>
                <w:lang w:val="en-US"/>
              </w:rPr>
              <w:t>Vorzugsstimme)</w:t>
            </w:r>
            <w:r w:rsidRPr="00EA6830">
              <w:rPr>
                <w:rFonts w:ascii="Verdana" w:eastAsia="Calibri" w:hAnsi="Verdana" w:cs="Times New Roman"/>
                <w:sz w:val="20"/>
                <w:szCs w:val="20"/>
                <w:lang w:val="en-US"/>
              </w:rPr>
              <w:t xml:space="preserve"> for visually strongly impaired or blind persons through the possibility to enter the preferential vote with the number of the candidate on candidates list.</w:t>
            </w:r>
            <w:r w:rsidRPr="00EA6830">
              <w:rPr>
                <w:rStyle w:val="FootnoteReference"/>
                <w:rFonts w:ascii="Verdana" w:eastAsia="Calibri" w:hAnsi="Verdana" w:cs="Times New Roman"/>
                <w:sz w:val="20"/>
                <w:szCs w:val="20"/>
                <w:lang w:val="en-US"/>
              </w:rPr>
              <w:footnoteReference w:id="8"/>
            </w:r>
          </w:p>
        </w:tc>
      </w:tr>
      <w:tr w:rsidR="004F70B0" w:rsidRPr="00EA6830" w14:paraId="7F6EA2D4" w14:textId="77777777" w:rsidTr="004F70B0">
        <w:trPr>
          <w:trHeight w:val="454"/>
        </w:trPr>
        <w:tc>
          <w:tcPr>
            <w:tcW w:w="1881" w:type="pct"/>
            <w:shd w:val="clear" w:color="auto" w:fill="auto"/>
            <w:vAlign w:val="center"/>
          </w:tcPr>
          <w:p w14:paraId="7F6EA2D0" w14:textId="77777777" w:rsidR="004F70B0" w:rsidRPr="00EA6830" w:rsidRDefault="004F70B0" w:rsidP="007A4C35">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 xml:space="preserve">Is there a requirement under law to register to vote? If so, please specify the relevant </w:t>
            </w:r>
            <w:r w:rsidRPr="00EA6830">
              <w:rPr>
                <w:rFonts w:ascii="Verdana" w:eastAsia="Calibri" w:hAnsi="Verdana" w:cs="Times New Roman"/>
                <w:sz w:val="20"/>
                <w:szCs w:val="20"/>
                <w:lang w:val="en-GB"/>
              </w:rPr>
              <w:lastRenderedPageBreak/>
              <w:t>legislation.</w:t>
            </w:r>
          </w:p>
        </w:tc>
        <w:tc>
          <w:tcPr>
            <w:tcW w:w="3119" w:type="pct"/>
            <w:shd w:val="clear" w:color="auto" w:fill="auto"/>
            <w:vAlign w:val="center"/>
          </w:tcPr>
          <w:p w14:paraId="7F6EA2D3" w14:textId="7E6D0268" w:rsidR="004F70B0" w:rsidRPr="00EA6830" w:rsidRDefault="004F70B0" w:rsidP="00FE0B7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 xml:space="preserve">In Austria there is no requirement under law to register to vote. An electoral roll is provided by the authorities of the municipalities and evaluated continuously. </w:t>
            </w:r>
            <w:r w:rsidRPr="00EA6830">
              <w:rPr>
                <w:rFonts w:ascii="Verdana" w:eastAsia="Calibri" w:hAnsi="Verdana" w:cs="Times New Roman"/>
                <w:sz w:val="20"/>
                <w:szCs w:val="20"/>
                <w:lang w:val="en-GB"/>
              </w:rPr>
              <w:lastRenderedPageBreak/>
              <w:t>The electoral roll is based on the population register (</w:t>
            </w:r>
            <w:r w:rsidRPr="00EA6830">
              <w:rPr>
                <w:rFonts w:ascii="Verdana" w:eastAsia="Calibri" w:hAnsi="Verdana" w:cs="Times New Roman"/>
                <w:i/>
                <w:sz w:val="20"/>
                <w:szCs w:val="20"/>
                <w:lang w:val="en-GB"/>
              </w:rPr>
              <w:t>Zentrales Melderegister, ZMR)</w:t>
            </w:r>
            <w:r w:rsidRPr="00EA6830">
              <w:rPr>
                <w:rFonts w:ascii="Verdana" w:eastAsia="Calibri" w:hAnsi="Verdana" w:cs="Times New Roman"/>
                <w:sz w:val="20"/>
                <w:szCs w:val="20"/>
                <w:lang w:val="en-GB"/>
              </w:rPr>
              <w:t>. There is a different electoral roll for the European Parliament elections in place. However, non- Austrian EU-citizens who reside in Austria need to register to the electoral roll for the European Parliament elections.</w:t>
            </w:r>
            <w:r w:rsidRPr="00EA6830">
              <w:rPr>
                <w:rStyle w:val="FootnoteReference"/>
                <w:rFonts w:ascii="Verdana" w:eastAsia="Calibri" w:hAnsi="Verdana" w:cs="Times New Roman"/>
                <w:sz w:val="20"/>
                <w:szCs w:val="20"/>
                <w:lang w:val="en-GB"/>
              </w:rPr>
              <w:footnoteReference w:id="9"/>
            </w:r>
            <w:r w:rsidRPr="00EA6830">
              <w:rPr>
                <w:rFonts w:ascii="Verdana" w:eastAsia="Calibri" w:hAnsi="Verdana" w:cs="Times New Roman"/>
                <w:sz w:val="20"/>
                <w:szCs w:val="20"/>
                <w:lang w:val="en-GB"/>
              </w:rPr>
              <w:t xml:space="preserve"> </w:t>
            </w:r>
          </w:p>
        </w:tc>
      </w:tr>
      <w:tr w:rsidR="004F70B0" w:rsidRPr="00EA6830" w14:paraId="70D8ABB2" w14:textId="77777777" w:rsidTr="004F70B0">
        <w:trPr>
          <w:trHeight w:val="454"/>
        </w:trPr>
        <w:tc>
          <w:tcPr>
            <w:tcW w:w="1881" w:type="pct"/>
            <w:shd w:val="clear" w:color="auto" w:fill="auto"/>
            <w:vAlign w:val="center"/>
          </w:tcPr>
          <w:p w14:paraId="52BA3618" w14:textId="77777777" w:rsidR="004F70B0" w:rsidRPr="00EA6830" w:rsidRDefault="004F70B0" w:rsidP="0028769B">
            <w:pPr>
              <w:rPr>
                <w:rFonts w:ascii="Verdana" w:hAnsi="Verdana"/>
                <w:sz w:val="20"/>
                <w:szCs w:val="20"/>
              </w:rPr>
            </w:pPr>
            <w:r w:rsidRPr="00EA6830">
              <w:rPr>
                <w:rFonts w:ascii="Verdana" w:hAnsi="Verdana"/>
                <w:sz w:val="20"/>
                <w:szCs w:val="20"/>
              </w:rPr>
              <w:lastRenderedPageBreak/>
              <w:t>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65321644" w14:textId="4CBA14C1" w:rsidR="004F70B0" w:rsidRPr="00EA6830" w:rsidRDefault="004F70B0" w:rsidP="0028769B">
            <w:pPr>
              <w:spacing w:before="240"/>
              <w:contextualSpacing/>
              <w:rPr>
                <w:rFonts w:ascii="Verdana" w:eastAsia="Calibri" w:hAnsi="Verdana" w:cs="Times New Roman"/>
                <w:sz w:val="20"/>
                <w:szCs w:val="20"/>
                <w:lang w:val="en-GB"/>
              </w:rPr>
            </w:pPr>
            <w:r w:rsidRPr="00EA6830">
              <w:rPr>
                <w:rFonts w:ascii="Verdana" w:hAnsi="Verdana"/>
                <w:sz w:val="20"/>
                <w:szCs w:val="20"/>
              </w:rPr>
              <w:t>Does the same law regarding voting rights apply for national, local/regional elections and referendums?</w:t>
            </w:r>
          </w:p>
        </w:tc>
        <w:tc>
          <w:tcPr>
            <w:tcW w:w="3119" w:type="pct"/>
            <w:shd w:val="clear" w:color="auto" w:fill="auto"/>
            <w:vAlign w:val="center"/>
          </w:tcPr>
          <w:p w14:paraId="1C0EB258" w14:textId="77777777" w:rsidR="004F70B0" w:rsidRPr="00EA6830" w:rsidRDefault="004F70B0" w:rsidP="0038706D">
            <w:pPr>
              <w:rPr>
                <w:rFonts w:ascii="Verdana" w:hAnsi="Verdana"/>
                <w:sz w:val="20"/>
                <w:szCs w:val="20"/>
              </w:rPr>
            </w:pPr>
            <w:r w:rsidRPr="00EA6830">
              <w:rPr>
                <w:rFonts w:ascii="Verdana" w:hAnsi="Verdana"/>
                <w:sz w:val="20"/>
                <w:szCs w:val="20"/>
              </w:rPr>
              <w:t>Article 26, Constitution of Austria</w:t>
            </w:r>
          </w:p>
          <w:p w14:paraId="7ADC9515" w14:textId="77777777" w:rsidR="004F70B0" w:rsidRPr="00EA6830" w:rsidRDefault="004F70B0" w:rsidP="0038706D">
            <w:pPr>
              <w:rPr>
                <w:rFonts w:ascii="Verdana" w:hAnsi="Verdana"/>
                <w:sz w:val="20"/>
                <w:szCs w:val="20"/>
              </w:rPr>
            </w:pPr>
          </w:p>
          <w:p w14:paraId="7B5052E4" w14:textId="04F1CD7F" w:rsidR="004F70B0" w:rsidRPr="00EA6830" w:rsidRDefault="004F70B0" w:rsidP="0038706D">
            <w:pPr>
              <w:rPr>
                <w:rFonts w:ascii="Verdana" w:hAnsi="Verdana"/>
                <w:sz w:val="20"/>
                <w:szCs w:val="20"/>
              </w:rPr>
            </w:pPr>
            <w:r w:rsidRPr="00EA6830">
              <w:rPr>
                <w:rFonts w:ascii="Verdana" w:hAnsi="Verdana"/>
                <w:sz w:val="20"/>
                <w:szCs w:val="20"/>
              </w:rPr>
              <w:t>According to Article 117 (2) of the Constitutional Law (Bundes-Verfassungsgesetz, B-VG)</w:t>
            </w:r>
            <w:r w:rsidRPr="00EA6830">
              <w:rPr>
                <w:rStyle w:val="FootnoteReference"/>
                <w:rFonts w:ascii="Verdana" w:hAnsi="Verdana"/>
                <w:sz w:val="20"/>
                <w:szCs w:val="20"/>
              </w:rPr>
              <w:footnoteReference w:id="10"/>
            </w:r>
            <w:r w:rsidRPr="00EA6830">
              <w:rPr>
                <w:rFonts w:ascii="Verdana" w:hAnsi="Verdana"/>
                <w:sz w:val="20"/>
                <w:szCs w:val="20"/>
              </w:rPr>
              <w:t xml:space="preserve"> EU citizens with principal residence in a municipality have an active and passive right to vote in municipal elections. Vienna foresees an exception: according to Article 108 of the Constitutional Law (Bundes-Verfassungsgesetz, B-VG) the Vienna City Council (Gemeinderat) is identical with the Vienna province parliament (Landtag). Therefore EU citizens without Austrian nationality are only eligible to vote in elections to district representative bodies (Bezirksvertretungen) of Vienna.</w:t>
            </w:r>
          </w:p>
          <w:p w14:paraId="5388F63A" w14:textId="77777777" w:rsidR="004F70B0" w:rsidRPr="00EA6830" w:rsidRDefault="004F70B0" w:rsidP="0038706D">
            <w:pPr>
              <w:rPr>
                <w:rFonts w:ascii="Verdana" w:hAnsi="Verdana"/>
                <w:sz w:val="20"/>
                <w:szCs w:val="20"/>
              </w:rPr>
            </w:pPr>
          </w:p>
          <w:p w14:paraId="5DBB2DCB" w14:textId="485B0395" w:rsidR="004F70B0" w:rsidRPr="00EA6830" w:rsidRDefault="004F70B0" w:rsidP="0038706D">
            <w:pPr>
              <w:spacing w:before="240"/>
              <w:contextualSpacing/>
              <w:rPr>
                <w:rFonts w:ascii="Verdana" w:eastAsia="Calibri" w:hAnsi="Verdana" w:cs="Times New Roman"/>
                <w:sz w:val="20"/>
                <w:szCs w:val="20"/>
                <w:lang w:val="en-US"/>
              </w:rPr>
            </w:pPr>
            <w:r w:rsidRPr="00EA6830">
              <w:rPr>
                <w:rFonts w:ascii="Verdana" w:hAnsi="Verdana"/>
                <w:sz w:val="20"/>
                <w:szCs w:val="20"/>
              </w:rPr>
              <w:t>According to §21 (1) of the National Assembly Election Order (Nationalratswahlordnung, NRWO) all men and women from 16 upwards holding the Austrian citizenship are eligible to vote. Exclusions from the right to vote are only foreseen in cases of criminal convictions according to §22 NRWO.</w:t>
            </w:r>
          </w:p>
        </w:tc>
      </w:tr>
      <w:tr w:rsidR="004F70B0" w:rsidRPr="00EA6830" w14:paraId="19178628" w14:textId="77777777" w:rsidTr="004F70B0">
        <w:trPr>
          <w:trHeight w:val="454"/>
        </w:trPr>
        <w:tc>
          <w:tcPr>
            <w:tcW w:w="1881" w:type="pct"/>
            <w:shd w:val="clear" w:color="auto" w:fill="auto"/>
            <w:vAlign w:val="center"/>
          </w:tcPr>
          <w:p w14:paraId="17C4E532" w14:textId="77777777" w:rsidR="004F70B0" w:rsidRPr="00EA6830" w:rsidRDefault="004F70B0" w:rsidP="0028769B">
            <w:pPr>
              <w:rPr>
                <w:rFonts w:ascii="Verdana" w:hAnsi="Verdana"/>
                <w:sz w:val="20"/>
                <w:szCs w:val="20"/>
              </w:rPr>
            </w:pPr>
            <w:r w:rsidRPr="00EA6830">
              <w:rPr>
                <w:rFonts w:ascii="Verdana" w:hAnsi="Verdana"/>
                <w:sz w:val="20"/>
                <w:szCs w:val="20"/>
              </w:rPr>
              <w:t>Do all persons with disabilities have the right, under law, to stand for and be elected to public office, in municipal elections, on an equal basis with others? And in elections to the European Parliament?</w:t>
            </w:r>
          </w:p>
          <w:p w14:paraId="77996170" w14:textId="77777777" w:rsidR="004F70B0" w:rsidRPr="00EA6830" w:rsidRDefault="004F70B0" w:rsidP="0028769B">
            <w:pPr>
              <w:rPr>
                <w:rFonts w:ascii="Verdana" w:hAnsi="Verdana"/>
                <w:sz w:val="20"/>
                <w:szCs w:val="20"/>
              </w:rPr>
            </w:pPr>
          </w:p>
          <w:p w14:paraId="2A3D7DE8" w14:textId="523C0152" w:rsidR="004F70B0" w:rsidRPr="00EA6830" w:rsidRDefault="004F70B0" w:rsidP="0028769B">
            <w:pPr>
              <w:spacing w:before="240"/>
              <w:contextualSpacing/>
              <w:rPr>
                <w:rFonts w:ascii="Verdana" w:eastAsia="Calibri" w:hAnsi="Verdana" w:cs="Times New Roman"/>
                <w:sz w:val="20"/>
                <w:szCs w:val="20"/>
                <w:lang w:val="en-GB"/>
              </w:rPr>
            </w:pPr>
            <w:r w:rsidRPr="00EA6830">
              <w:rPr>
                <w:rFonts w:ascii="Verdana" w:hAnsi="Verdana"/>
                <w:sz w:val="20"/>
                <w:szCs w:val="20"/>
              </w:rPr>
              <w:t>Does the same election law apply for other elections (e.g. national, local and regional) and referendums?</w:t>
            </w:r>
          </w:p>
        </w:tc>
        <w:tc>
          <w:tcPr>
            <w:tcW w:w="3119" w:type="pct"/>
            <w:shd w:val="clear" w:color="auto" w:fill="auto"/>
            <w:vAlign w:val="center"/>
          </w:tcPr>
          <w:p w14:paraId="171B9B0A" w14:textId="51BDCEDF" w:rsidR="004F70B0" w:rsidRPr="00EA6830" w:rsidRDefault="004F70B0" w:rsidP="00A36944">
            <w:pPr>
              <w:autoSpaceDE w:val="0"/>
              <w:autoSpaceDN w:val="0"/>
              <w:adjustRightInd w:val="0"/>
              <w:rPr>
                <w:rFonts w:ascii="Verdana" w:hAnsi="Verdana" w:cstheme="minorHAnsi"/>
                <w:sz w:val="20"/>
                <w:szCs w:val="20"/>
              </w:rPr>
            </w:pPr>
            <w:r w:rsidRPr="00EA6830">
              <w:rPr>
                <w:rFonts w:ascii="Verdana" w:hAnsi="Verdana" w:cstheme="minorHAnsi"/>
                <w:bCs/>
                <w:sz w:val="20"/>
                <w:szCs w:val="20"/>
              </w:rPr>
              <w:t>Austria</w:t>
            </w:r>
            <w:r w:rsidRPr="00EA6830">
              <w:rPr>
                <w:rFonts w:ascii="Verdana" w:hAnsi="Verdana" w:cstheme="minorHAnsi"/>
                <w:b/>
                <w:bCs/>
                <w:sz w:val="20"/>
                <w:szCs w:val="20"/>
              </w:rPr>
              <w:t xml:space="preserve"> </w:t>
            </w:r>
            <w:r w:rsidRPr="00EA6830">
              <w:rPr>
                <w:rFonts w:ascii="Verdana" w:hAnsi="Verdana" w:cstheme="minorHAnsi"/>
                <w:sz w:val="20"/>
                <w:szCs w:val="20"/>
              </w:rPr>
              <w:t>is one of the states in which persons with mental health problems and persons with intellectual disabilities are allowed to vote and to be elected like all other citizens. According to Article 26(5) of the Austrian</w:t>
            </w:r>
            <w:r>
              <w:rPr>
                <w:rFonts w:ascii="Verdana" w:hAnsi="Verdana" w:cstheme="minorHAnsi"/>
                <w:sz w:val="20"/>
                <w:szCs w:val="20"/>
              </w:rPr>
              <w:t xml:space="preserve"> </w:t>
            </w:r>
            <w:r w:rsidRPr="00EA6830">
              <w:rPr>
                <w:rFonts w:ascii="Verdana" w:hAnsi="Verdana" w:cstheme="minorHAnsi"/>
                <w:sz w:val="20"/>
                <w:szCs w:val="20"/>
              </w:rPr>
              <w:t>Constitution, a person can only be deprived of his or her right to vote and to be elected in case of a criminal conviction, which is further specified in Section 22 of the Elections to the Parliament Act.</w:t>
            </w:r>
            <w:r>
              <w:rPr>
                <w:rFonts w:ascii="Verdana" w:hAnsi="Verdana" w:cstheme="minorHAnsi"/>
                <w:sz w:val="20"/>
                <w:szCs w:val="20"/>
              </w:rPr>
              <w:t xml:space="preserve"> </w:t>
            </w:r>
            <w:r w:rsidRPr="00EA6830">
              <w:rPr>
                <w:rFonts w:ascii="Verdana" w:hAnsi="Verdana" w:cstheme="minorHAnsi"/>
                <w:sz w:val="20"/>
                <w:szCs w:val="20"/>
              </w:rPr>
              <w:t>Austria/BGBl 471/1992 as amended by BGBl II 147/2008 (29.12.2008).</w:t>
            </w:r>
            <w:r w:rsidRPr="00EA6830">
              <w:rPr>
                <w:rStyle w:val="FootnoteReference"/>
                <w:rFonts w:ascii="Verdana" w:hAnsi="Verdana" w:cstheme="minorHAnsi"/>
                <w:sz w:val="20"/>
                <w:szCs w:val="20"/>
              </w:rPr>
              <w:footnoteReference w:id="11"/>
            </w:r>
            <w:r w:rsidRPr="00EA6830">
              <w:rPr>
                <w:rFonts w:ascii="Verdana" w:hAnsi="Verdana" w:cstheme="minorHAnsi"/>
                <w:sz w:val="20"/>
                <w:szCs w:val="20"/>
              </w:rPr>
              <w:t xml:space="preserve"> </w:t>
            </w:r>
          </w:p>
        </w:tc>
      </w:tr>
      <w:tr w:rsidR="004F70B0" w:rsidRPr="00EA6830" w14:paraId="7F6EA2DE" w14:textId="77777777" w:rsidTr="004F70B0">
        <w:trPr>
          <w:trHeight w:val="454"/>
        </w:trPr>
        <w:tc>
          <w:tcPr>
            <w:tcW w:w="1881" w:type="pct"/>
            <w:shd w:val="clear" w:color="auto" w:fill="auto"/>
            <w:vAlign w:val="center"/>
          </w:tcPr>
          <w:p w14:paraId="7F6EA2D6" w14:textId="77777777" w:rsidR="004F70B0" w:rsidRPr="00EA6830" w:rsidRDefault="004F70B0" w:rsidP="007A4C35">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Is there legislation in place regulating how people living in long-term institutions may vote?</w:t>
            </w:r>
          </w:p>
        </w:tc>
        <w:tc>
          <w:tcPr>
            <w:tcW w:w="3119" w:type="pct"/>
            <w:vAlign w:val="center"/>
          </w:tcPr>
          <w:p w14:paraId="7F6EA2D9" w14:textId="417849C9" w:rsidR="004F70B0" w:rsidRPr="00EA6830" w:rsidRDefault="004F70B0" w:rsidP="00BE4EFD">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 xml:space="preserve">The voting conditions for people living in long term institutions are regulated in the respective law that applies either for the election of the European Parliament (EuWO §58/§59), the Austrian National Assembly (NRWO-1992 §72/§73) or the municipalities. It is possible to install a special electoral commission close to or in the respective institution in order to facilitate access of people living in long term institutions. Furthermore a mobile electoral commission may also visit bedridden persons in their personal accommodation (according to § 73 NRWO and § 59 EuWO). </w:t>
            </w:r>
          </w:p>
          <w:p w14:paraId="7F6EA2DA" w14:textId="77777777" w:rsidR="004F70B0" w:rsidRPr="00EA6830" w:rsidRDefault="004F70B0" w:rsidP="007A4C35">
            <w:pPr>
              <w:spacing w:before="240"/>
              <w:contextualSpacing/>
              <w:rPr>
                <w:rFonts w:ascii="Verdana" w:eastAsia="Calibri" w:hAnsi="Verdana" w:cs="Times New Roman"/>
                <w:sz w:val="20"/>
                <w:szCs w:val="20"/>
                <w:lang w:val="en-US"/>
              </w:rPr>
            </w:pPr>
          </w:p>
          <w:p w14:paraId="7F6EA2DB" w14:textId="77777777" w:rsidR="004F70B0" w:rsidRPr="00EA6830" w:rsidRDefault="004F70B0" w:rsidP="007A4C35">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Every citizen eligible to vote has the possibility to apply for a voter card (</w:t>
            </w:r>
            <w:r w:rsidRPr="00EA6830">
              <w:rPr>
                <w:rFonts w:ascii="Verdana" w:eastAsia="Calibri" w:hAnsi="Verdana" w:cs="Times New Roman"/>
                <w:i/>
                <w:sz w:val="20"/>
                <w:szCs w:val="20"/>
                <w:lang w:val="en-US"/>
              </w:rPr>
              <w:t xml:space="preserve">Wahlkarte, </w:t>
            </w:r>
            <w:r w:rsidRPr="00EA6830">
              <w:rPr>
                <w:rFonts w:ascii="Verdana" w:eastAsia="Calibri" w:hAnsi="Verdana" w:cs="Times New Roman"/>
                <w:sz w:val="20"/>
                <w:szCs w:val="20"/>
                <w:lang w:val="en-US"/>
              </w:rPr>
              <w:t>EuWO §26/NRWO-1992 §38) which enables the person to vote at a favored polling station or to send the voter card by post.</w:t>
            </w:r>
          </w:p>
          <w:p w14:paraId="7F6EA2DD" w14:textId="77777777" w:rsidR="004F70B0" w:rsidRPr="00EA6830" w:rsidRDefault="004F70B0" w:rsidP="00D71050">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Similar regulations are codified in the provincial legislation on the respective municipal elections. Despite different formulation of the correspondent paragraphs all provinces provide a mobile electoral commission for people living in long term institutions as well as the possibility to vote via voter card.</w:t>
            </w:r>
            <w:r w:rsidRPr="00EA6830">
              <w:rPr>
                <w:rStyle w:val="FootnoteReference"/>
                <w:rFonts w:ascii="Verdana" w:eastAsia="Calibri" w:hAnsi="Verdana" w:cs="Times New Roman"/>
                <w:sz w:val="20"/>
                <w:szCs w:val="20"/>
                <w:lang w:val="en-US"/>
              </w:rPr>
              <w:footnoteReference w:id="12"/>
            </w:r>
          </w:p>
        </w:tc>
      </w:tr>
      <w:tr w:rsidR="004F70B0" w:rsidRPr="00EA6830" w14:paraId="322C0E36" w14:textId="77777777" w:rsidTr="004F70B0">
        <w:trPr>
          <w:trHeight w:val="454"/>
        </w:trPr>
        <w:tc>
          <w:tcPr>
            <w:tcW w:w="1881" w:type="pct"/>
            <w:shd w:val="clear" w:color="auto" w:fill="auto"/>
            <w:vAlign w:val="center"/>
          </w:tcPr>
          <w:p w14:paraId="37A8BB2B" w14:textId="09DD8801" w:rsidR="004F70B0" w:rsidRPr="00EA6830" w:rsidRDefault="004F70B0" w:rsidP="005E49BE">
            <w:pPr>
              <w:spacing w:before="240"/>
              <w:contextualSpacing/>
              <w:rPr>
                <w:rFonts w:ascii="Verdana" w:eastAsia="Calibri" w:hAnsi="Verdana" w:cs="Times New Roman"/>
                <w:sz w:val="20"/>
                <w:szCs w:val="20"/>
                <w:lang w:val="en-GB"/>
              </w:rPr>
            </w:pPr>
            <w:r w:rsidRPr="00EA6830">
              <w:rPr>
                <w:rFonts w:ascii="Verdana" w:hAnsi="Verdana"/>
                <w:sz w:val="20"/>
                <w:szCs w:val="20"/>
              </w:rPr>
              <w:t xml:space="preserve">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w:t>
            </w:r>
            <w:r w:rsidRPr="00EA6830">
              <w:rPr>
                <w:rFonts w:ascii="Verdana" w:hAnsi="Verdana"/>
                <w:sz w:val="20"/>
                <w:szCs w:val="20"/>
              </w:rPr>
              <w:lastRenderedPageBreak/>
              <w:t>voting, voting at institutions, mobile voting)?</w:t>
            </w:r>
          </w:p>
        </w:tc>
        <w:tc>
          <w:tcPr>
            <w:tcW w:w="3119" w:type="pct"/>
            <w:vAlign w:val="center"/>
          </w:tcPr>
          <w:p w14:paraId="41FD1069" w14:textId="77777777" w:rsidR="004F70B0" w:rsidRPr="00EA6830" w:rsidRDefault="004F70B0" w:rsidP="0043474D">
            <w:pPr>
              <w:spacing w:before="240"/>
              <w:contextualSpacing/>
              <w:rPr>
                <w:rFonts w:ascii="Verdana" w:hAnsi="Verdana" w:cs="Times New Roman"/>
                <w:sz w:val="20"/>
                <w:szCs w:val="20"/>
              </w:rPr>
            </w:pPr>
            <w:r w:rsidRPr="00EA6830">
              <w:rPr>
                <w:rFonts w:ascii="Verdana" w:hAnsi="Verdana" w:cs="Times New Roman"/>
                <w:sz w:val="20"/>
                <w:szCs w:val="20"/>
              </w:rPr>
              <w:lastRenderedPageBreak/>
              <w:t>On 13 June 2013 the National Assembly decided on an amendment of the Election to the Parliament Act (</w:t>
            </w:r>
            <w:r w:rsidRPr="00EA6830">
              <w:rPr>
                <w:rFonts w:ascii="Verdana" w:hAnsi="Verdana" w:cs="Times New Roman"/>
                <w:i/>
                <w:sz w:val="20"/>
                <w:szCs w:val="20"/>
              </w:rPr>
              <w:t xml:space="preserve">Nationalratswahlordnung, NRWO, </w:t>
            </w:r>
            <w:r w:rsidRPr="00EA6830">
              <w:rPr>
                <w:rFonts w:ascii="Verdana" w:hAnsi="Verdana" w:cs="Times New Roman"/>
                <w:sz w:val="20"/>
                <w:szCs w:val="20"/>
              </w:rPr>
              <w:t>§79 (2)) as well as the Election to the European Parliament Act (</w:t>
            </w:r>
            <w:r w:rsidRPr="00EA6830">
              <w:rPr>
                <w:rFonts w:ascii="Verdana" w:hAnsi="Verdana" w:cs="Times New Roman"/>
                <w:i/>
                <w:sz w:val="20"/>
                <w:szCs w:val="20"/>
              </w:rPr>
              <w:t xml:space="preserve">Europawahlordnung, </w:t>
            </w:r>
            <w:r w:rsidRPr="00EA6830">
              <w:rPr>
                <w:rFonts w:ascii="Verdana" w:hAnsi="Verdana" w:cs="Times New Roman"/>
                <w:sz w:val="20"/>
                <w:szCs w:val="20"/>
              </w:rPr>
              <w:t>EuWO,</w:t>
            </w:r>
            <w:r w:rsidRPr="00EA6830">
              <w:rPr>
                <w:rFonts w:ascii="Verdana" w:hAnsi="Verdana" w:cs="Times New Roman"/>
                <w:i/>
                <w:sz w:val="20"/>
                <w:szCs w:val="20"/>
              </w:rPr>
              <w:t xml:space="preserve"> </w:t>
            </w:r>
            <w:r w:rsidRPr="00EA6830">
              <w:rPr>
                <w:rFonts w:ascii="Verdana" w:hAnsi="Verdana" w:cs="Times New Roman"/>
                <w:sz w:val="20"/>
                <w:szCs w:val="20"/>
              </w:rPr>
              <w:t xml:space="preserve">§63 (2)). This amendment serves the facilitation of giving a preferential vote </w:t>
            </w:r>
            <w:r w:rsidRPr="00EA6830">
              <w:rPr>
                <w:rFonts w:ascii="Verdana" w:hAnsi="Verdana" w:cs="Times New Roman"/>
                <w:i/>
                <w:sz w:val="20"/>
                <w:szCs w:val="20"/>
              </w:rPr>
              <w:t>(Vorzugsstimme)</w:t>
            </w:r>
            <w:r w:rsidRPr="00EA6830">
              <w:rPr>
                <w:rFonts w:ascii="Verdana" w:hAnsi="Verdana" w:cs="Times New Roman"/>
                <w:sz w:val="20"/>
                <w:szCs w:val="20"/>
              </w:rPr>
              <w:t xml:space="preserve"> for visually strongly impaired or blind persons through the possibility to enter the preferential vote with the number of the candidate on candidates list instead of the candidate’s full name.</w:t>
            </w:r>
            <w:r w:rsidRPr="00EA6830">
              <w:rPr>
                <w:rFonts w:ascii="Verdana" w:hAnsi="Verdana" w:cs="Times New Roman"/>
                <w:sz w:val="20"/>
                <w:szCs w:val="20"/>
                <w:vertAlign w:val="superscript"/>
                <w:lang w:val="en-US" w:bidi="en-US"/>
              </w:rPr>
              <w:footnoteReference w:id="13"/>
            </w:r>
          </w:p>
          <w:p w14:paraId="246B513B" w14:textId="77777777" w:rsidR="004F70B0" w:rsidRPr="00EA6830" w:rsidRDefault="004F70B0" w:rsidP="0043474D">
            <w:pPr>
              <w:spacing w:before="240"/>
              <w:contextualSpacing/>
              <w:rPr>
                <w:rFonts w:ascii="Verdana" w:hAnsi="Verdana" w:cs="Times New Roman"/>
                <w:sz w:val="20"/>
                <w:szCs w:val="20"/>
              </w:rPr>
            </w:pPr>
          </w:p>
          <w:p w14:paraId="6A008CF2" w14:textId="4114515B" w:rsidR="004F70B0" w:rsidRPr="00EA6830" w:rsidRDefault="004F70B0" w:rsidP="0043474D">
            <w:pPr>
              <w:spacing w:before="240"/>
              <w:contextualSpacing/>
              <w:rPr>
                <w:rFonts w:ascii="Verdana" w:hAnsi="Verdana" w:cs="Times New Roman"/>
                <w:sz w:val="20"/>
                <w:szCs w:val="20"/>
                <w:lang w:val="en-US" w:bidi="en-US"/>
              </w:rPr>
            </w:pPr>
            <w:r w:rsidRPr="00EA6830">
              <w:rPr>
                <w:rFonts w:ascii="Verdana" w:hAnsi="Verdana"/>
                <w:sz w:val="20"/>
                <w:szCs w:val="20"/>
              </w:rPr>
              <w:t xml:space="preserve">Absentee ballots and visiting electoral commissions (“fliegende </w:t>
            </w:r>
            <w:r w:rsidRPr="00EA6830">
              <w:rPr>
                <w:rFonts w:ascii="Verdana" w:hAnsi="Verdana"/>
                <w:sz w:val="20"/>
                <w:szCs w:val="20"/>
              </w:rPr>
              <w:lastRenderedPageBreak/>
              <w:t>Wahlkommissionen”) facilitate voting especially for persons with physical impairment (§38 (2) National Assembly Election Order (</w:t>
            </w:r>
            <w:r w:rsidRPr="00EA6830">
              <w:rPr>
                <w:rFonts w:ascii="Verdana" w:hAnsi="Verdana"/>
                <w:i/>
                <w:sz w:val="20"/>
                <w:szCs w:val="20"/>
              </w:rPr>
              <w:t>Nationalratswahlordnung, NRWO</w:t>
            </w:r>
            <w:r w:rsidRPr="00EA6830">
              <w:rPr>
                <w:rFonts w:ascii="Verdana" w:hAnsi="Verdana"/>
                <w:sz w:val="20"/>
                <w:szCs w:val="20"/>
              </w:rPr>
              <w:t>). For persons with visual impairment special templates and guiding systems have to be provided.</w:t>
            </w:r>
          </w:p>
        </w:tc>
      </w:tr>
      <w:tr w:rsidR="004F70B0" w:rsidRPr="00EA6830" w14:paraId="7F6EA2ED" w14:textId="77777777" w:rsidTr="004F70B0">
        <w:trPr>
          <w:trHeight w:val="454"/>
        </w:trPr>
        <w:tc>
          <w:tcPr>
            <w:tcW w:w="1881" w:type="pct"/>
            <w:shd w:val="clear" w:color="auto" w:fill="auto"/>
            <w:vAlign w:val="center"/>
          </w:tcPr>
          <w:p w14:paraId="7F6EA2E0" w14:textId="77777777" w:rsidR="004F70B0" w:rsidRPr="00EA6830" w:rsidRDefault="004F70B0" w:rsidP="005E49BE">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Is there a duty under law for public and private providers of internet and web-based information to ensure that public information is subject to accessibility requirements (e.g. equivalent to Web Content Accessibility Guidelines (WCAG) 2.0 AA standard)</w:t>
            </w:r>
          </w:p>
        </w:tc>
        <w:tc>
          <w:tcPr>
            <w:tcW w:w="3119" w:type="pct"/>
          </w:tcPr>
          <w:p w14:paraId="22CCDE65" w14:textId="77777777" w:rsidR="004F70B0" w:rsidRPr="00EA6830" w:rsidRDefault="004F70B0" w:rsidP="00EA04F8">
            <w:pPr>
              <w:spacing w:before="240"/>
              <w:contextualSpacing/>
              <w:rPr>
                <w:rFonts w:ascii="Verdana" w:hAnsi="Verdana" w:cs="Times New Roman"/>
                <w:sz w:val="20"/>
                <w:szCs w:val="20"/>
              </w:rPr>
            </w:pPr>
            <w:r w:rsidRPr="00EA6830">
              <w:rPr>
                <w:rFonts w:ascii="Verdana" w:hAnsi="Verdana" w:cs="Times New Roman"/>
                <w:sz w:val="20"/>
                <w:szCs w:val="20"/>
              </w:rPr>
              <w:t>§1 (3) of the Federal E-Government Act (</w:t>
            </w:r>
            <w:r w:rsidRPr="00EA6830">
              <w:rPr>
                <w:rFonts w:ascii="Verdana" w:hAnsi="Verdana" w:cs="Times New Roman"/>
                <w:i/>
                <w:sz w:val="20"/>
                <w:szCs w:val="20"/>
              </w:rPr>
              <w:t>E-Government-Gesetz)</w:t>
            </w:r>
            <w:r w:rsidRPr="00EA6830">
              <w:rPr>
                <w:rFonts w:ascii="Verdana" w:hAnsi="Verdana" w:cs="Times New Roman"/>
                <w:sz w:val="20"/>
                <w:szCs w:val="20"/>
              </w:rPr>
              <w:t xml:space="preserve"> stipulates that “measures shall be taken to ensure that official Internet sites which provide information or electronic support for procedures are structured in such a way as to comply with international standards for access to the worldwide web, including unhindered access for disabled persons.” The Act does not refer to any particular standards, it just reads:  § 1(3) when implementing the goals of this federal act precautions have to be taken, that official internet sites, which offer information or support procedures electronically are set up in such a way, that international standards for access to the worldwide web regarding the barrier free access of persons with disabilities are met. </w:t>
            </w:r>
          </w:p>
          <w:p w14:paraId="287C90B3" w14:textId="77777777" w:rsidR="004F70B0" w:rsidRPr="00EA6830" w:rsidRDefault="004F70B0" w:rsidP="00EA04F8">
            <w:pPr>
              <w:spacing w:before="240"/>
              <w:contextualSpacing/>
              <w:rPr>
                <w:rFonts w:ascii="Verdana" w:hAnsi="Verdana" w:cs="Times New Roman"/>
                <w:i/>
                <w:sz w:val="20"/>
                <w:szCs w:val="20"/>
                <w:lang w:val="de-AT"/>
              </w:rPr>
            </w:pPr>
            <w:r w:rsidRPr="00EA6830">
              <w:rPr>
                <w:rFonts w:ascii="Verdana" w:hAnsi="Verdana" w:cs="Times New Roman"/>
                <w:i/>
                <w:sz w:val="20"/>
                <w:szCs w:val="20"/>
                <w:lang w:val="de-AT"/>
              </w:rPr>
              <w:t>((3) Bei der Umsetzung der Ziele dieses Bundesgesetzes ist Vorsorge dafür zu treffen, dass behördliche Internetauftritte, die Informationen anbieten oder Verfahren elektronisch unterstützen, so gestaltet sind, dass internationale Standards über die Web-Zugänglichkeit auch hinsichtlich des barrierefreien Zugangs für behinderte Menschen eingehalten werden.)</w:t>
            </w:r>
          </w:p>
          <w:p w14:paraId="4DC7F75C" w14:textId="77777777" w:rsidR="004F70B0" w:rsidRPr="00EA6830" w:rsidRDefault="004F70B0" w:rsidP="00EA04F8">
            <w:pPr>
              <w:spacing w:before="240"/>
              <w:contextualSpacing/>
              <w:rPr>
                <w:rFonts w:ascii="Verdana" w:hAnsi="Verdana" w:cs="Times New Roman"/>
                <w:sz w:val="20"/>
                <w:szCs w:val="20"/>
                <w:lang w:val="de-AT"/>
              </w:rPr>
            </w:pPr>
          </w:p>
          <w:p w14:paraId="393504F8" w14:textId="5453F3F7" w:rsidR="004F70B0" w:rsidRPr="00EA6830" w:rsidRDefault="004F70B0" w:rsidP="00EA04F8">
            <w:pPr>
              <w:spacing w:before="240"/>
              <w:contextualSpacing/>
              <w:rPr>
                <w:rFonts w:ascii="Verdana" w:hAnsi="Verdana" w:cs="Times New Roman"/>
                <w:sz w:val="20"/>
                <w:szCs w:val="20"/>
              </w:rPr>
            </w:pPr>
            <w:r w:rsidRPr="00EA6830">
              <w:rPr>
                <w:rFonts w:ascii="Verdana" w:hAnsi="Verdana" w:cs="Times New Roman"/>
                <w:sz w:val="20"/>
                <w:szCs w:val="20"/>
              </w:rPr>
              <w:t>The Federal Disability Equality Act (</w:t>
            </w:r>
            <w:r w:rsidRPr="00EA6830">
              <w:rPr>
                <w:rFonts w:ascii="Verdana" w:hAnsi="Verdana"/>
                <w:i/>
                <w:sz w:val="20"/>
                <w:szCs w:val="20"/>
              </w:rPr>
              <w:t>Bundes-</w:t>
            </w:r>
            <w:r>
              <w:rPr>
                <w:rFonts w:ascii="Verdana" w:hAnsi="Verdana" w:cs="Times New Roman"/>
                <w:i/>
                <w:sz w:val="20"/>
                <w:szCs w:val="20"/>
              </w:rPr>
              <w:t>Behinderten</w:t>
            </w:r>
            <w:r w:rsidRPr="00EA6830">
              <w:rPr>
                <w:rFonts w:ascii="Verdana" w:hAnsi="Verdana" w:cs="Times New Roman"/>
                <w:i/>
                <w:sz w:val="20"/>
                <w:szCs w:val="20"/>
              </w:rPr>
              <w:t xml:space="preserve">gleichstellungsgesetz, BGStG) </w:t>
            </w:r>
            <w:r w:rsidRPr="00EA6830">
              <w:rPr>
                <w:rFonts w:ascii="Verdana" w:hAnsi="Verdana" w:cs="Times New Roman"/>
                <w:sz w:val="20"/>
                <w:szCs w:val="20"/>
              </w:rPr>
              <w:t>prohibits discrimination of persons with disabilities. Next to public services, the Act applies to all legal relationships, their initiation and creation (§2 (2)). Therefore private web offerings which entail a legal relationship have to be accessible for persons with disability.</w:t>
            </w:r>
            <w:r>
              <w:rPr>
                <w:rFonts w:ascii="Verdana" w:hAnsi="Verdana" w:cs="Times New Roman"/>
                <w:sz w:val="20"/>
                <w:szCs w:val="20"/>
              </w:rPr>
              <w:t xml:space="preserve"> </w:t>
            </w:r>
            <w:r w:rsidRPr="00EA6830">
              <w:rPr>
                <w:rFonts w:ascii="Verdana" w:hAnsi="Verdana" w:cs="Times New Roman"/>
                <w:sz w:val="20"/>
                <w:szCs w:val="20"/>
              </w:rPr>
              <w:t>The definition of accessibility is given in §6(5) of this Act</w:t>
            </w:r>
            <w:r w:rsidRPr="00EA6830">
              <w:rPr>
                <w:rStyle w:val="FootnoteReference"/>
                <w:rFonts w:ascii="Verdana" w:hAnsi="Verdana" w:cs="Times New Roman"/>
                <w:sz w:val="20"/>
                <w:szCs w:val="20"/>
              </w:rPr>
              <w:footnoteReference w:id="14"/>
            </w:r>
            <w:r w:rsidRPr="00EA6830">
              <w:rPr>
                <w:rFonts w:ascii="Verdana" w:hAnsi="Verdana" w:cs="Times New Roman"/>
                <w:sz w:val="20"/>
                <w:szCs w:val="20"/>
              </w:rPr>
              <w:t>:</w:t>
            </w:r>
            <w:r>
              <w:rPr>
                <w:rFonts w:ascii="Verdana" w:hAnsi="Verdana" w:cs="Times New Roman"/>
                <w:sz w:val="20"/>
                <w:szCs w:val="20"/>
              </w:rPr>
              <w:t xml:space="preserve"> </w:t>
            </w:r>
            <w:r w:rsidRPr="00EA6830">
              <w:rPr>
                <w:rFonts w:ascii="Verdana" w:hAnsi="Verdana" w:cs="Times New Roman"/>
                <w:sz w:val="20"/>
                <w:szCs w:val="20"/>
              </w:rPr>
              <w:t xml:space="preserve">“Constructional or other facilities, means of transport, technical equipment, information processing systems, and other aspects of life can only be considered barrier-free when they can be used normally by disabled persons without difficulty and without the need for help from others.” The act does not refer to any particular international standards; the text provided here is a direct quote from the act. </w:t>
            </w:r>
          </w:p>
          <w:p w14:paraId="420C7144" w14:textId="77777777" w:rsidR="004F70B0" w:rsidRPr="00EA6830" w:rsidRDefault="004F70B0" w:rsidP="00EA04F8">
            <w:pPr>
              <w:spacing w:before="240"/>
              <w:contextualSpacing/>
              <w:rPr>
                <w:rFonts w:ascii="Verdana" w:hAnsi="Verdana" w:cs="Times New Roman"/>
                <w:sz w:val="20"/>
                <w:szCs w:val="20"/>
              </w:rPr>
            </w:pPr>
          </w:p>
          <w:p w14:paraId="72620901" w14:textId="33C32146" w:rsidR="004F70B0" w:rsidRPr="00EA6830" w:rsidRDefault="004F70B0" w:rsidP="00EA04F8">
            <w:pPr>
              <w:spacing w:before="240"/>
              <w:contextualSpacing/>
              <w:rPr>
                <w:rFonts w:ascii="Verdana" w:hAnsi="Verdana" w:cs="Times New Roman"/>
                <w:color w:val="000000"/>
                <w:sz w:val="20"/>
                <w:szCs w:val="20"/>
              </w:rPr>
            </w:pPr>
            <w:r w:rsidRPr="00EA6830">
              <w:rPr>
                <w:rFonts w:ascii="Verdana" w:eastAsia="Calibri" w:hAnsi="Verdana" w:cs="Times New Roman"/>
                <w:sz w:val="20"/>
                <w:szCs w:val="20"/>
                <w:lang w:val="en-GB"/>
              </w:rPr>
              <w:lastRenderedPageBreak/>
              <w:t>The provision of understandable and accessible information relating to political participation is part of the National Action Plan on Disability 2012-2020 (</w:t>
            </w:r>
            <w:r w:rsidRPr="00EA6830">
              <w:rPr>
                <w:rFonts w:ascii="Verdana" w:eastAsia="Calibri" w:hAnsi="Verdana" w:cs="Times New Roman"/>
                <w:i/>
                <w:sz w:val="20"/>
                <w:szCs w:val="20"/>
                <w:lang w:val="en-GB"/>
              </w:rPr>
              <w:t>Nationaler Aktionsplan Behinderung)</w:t>
            </w:r>
            <w:r w:rsidRPr="00EA6830">
              <w:rPr>
                <w:rStyle w:val="FootnoteReference"/>
                <w:rFonts w:ascii="Verdana" w:hAnsi="Verdana" w:cs="Times New Roman"/>
                <w:sz w:val="20"/>
                <w:szCs w:val="20"/>
              </w:rPr>
              <w:footnoteReference w:id="15"/>
            </w:r>
            <w:r w:rsidRPr="00EA6830">
              <w:rPr>
                <w:rFonts w:ascii="Verdana" w:eastAsia="Calibri" w:hAnsi="Verdana" w:cs="Times New Roman"/>
                <w:sz w:val="20"/>
                <w:szCs w:val="20"/>
              </w:rPr>
              <w:t>.</w:t>
            </w:r>
            <w:r w:rsidRPr="00EA6830">
              <w:rPr>
                <w:rFonts w:ascii="Verdana" w:eastAsia="Calibri" w:hAnsi="Verdana" w:cs="Times New Roman"/>
                <w:sz w:val="20"/>
                <w:szCs w:val="20"/>
                <w:lang w:val="en-GB"/>
              </w:rPr>
              <w:t xml:space="preserve"> According to the action plan “t</w:t>
            </w:r>
            <w:r w:rsidRPr="00EA6830">
              <w:rPr>
                <w:rFonts w:ascii="Verdana" w:hAnsi="Verdana" w:cs="Times New Roman"/>
                <w:color w:val="000000"/>
                <w:sz w:val="20"/>
                <w:szCs w:val="20"/>
              </w:rPr>
              <w:t xml:space="preserve">he offering of information about </w:t>
            </w:r>
            <w:r w:rsidRPr="00EA6830">
              <w:rPr>
                <w:rFonts w:ascii="Verdana" w:hAnsi="Verdana" w:cs="Times New Roman"/>
                <w:bCs/>
                <w:color w:val="000000"/>
                <w:sz w:val="20"/>
                <w:szCs w:val="20"/>
              </w:rPr>
              <w:t xml:space="preserve">participation in elections </w:t>
            </w:r>
            <w:r w:rsidRPr="00EA6830">
              <w:rPr>
                <w:rFonts w:ascii="Verdana" w:hAnsi="Verdana" w:cs="Times New Roman"/>
                <w:color w:val="000000"/>
                <w:sz w:val="20"/>
                <w:szCs w:val="20"/>
              </w:rPr>
              <w:t xml:space="preserve">in accessible and (as far as possible) understandable form, in printed and electronic versions” must be realised by the Federal Ministry of Interior (Measure 190). </w:t>
            </w:r>
          </w:p>
          <w:p w14:paraId="36005A42" w14:textId="77777777" w:rsidR="004F70B0" w:rsidRPr="00EA6830" w:rsidRDefault="004F70B0" w:rsidP="00EA04F8">
            <w:pPr>
              <w:spacing w:before="240"/>
              <w:contextualSpacing/>
              <w:rPr>
                <w:rFonts w:ascii="Verdana" w:eastAsia="Calibri" w:hAnsi="Verdana" w:cs="Times New Roman"/>
                <w:sz w:val="20"/>
                <w:szCs w:val="20"/>
                <w:lang w:val="en-GB"/>
              </w:rPr>
            </w:pPr>
          </w:p>
          <w:p w14:paraId="7F6EA2EC" w14:textId="5AA4D39A" w:rsidR="004F70B0" w:rsidRPr="00EA6830" w:rsidRDefault="004F70B0" w:rsidP="00D22A9A">
            <w:pPr>
              <w:spacing w:before="240"/>
              <w:contextualSpacing/>
              <w:rPr>
                <w:rFonts w:ascii="Verdana" w:eastAsia="Calibri" w:hAnsi="Verdana" w:cs="Times New Roman"/>
                <w:i/>
                <w:sz w:val="20"/>
                <w:szCs w:val="20"/>
                <w:lang w:val="en-US"/>
              </w:rPr>
            </w:pPr>
            <w:r w:rsidRPr="00EA6830">
              <w:rPr>
                <w:rFonts w:ascii="Verdana" w:eastAsia="Calibri" w:hAnsi="Verdana" w:cs="Times New Roman"/>
                <w:sz w:val="20"/>
                <w:szCs w:val="20"/>
              </w:rPr>
              <w:t>§29 (7) Service of Documents Act</w:t>
            </w:r>
            <w:r w:rsidRPr="00EA6830">
              <w:rPr>
                <w:rFonts w:ascii="Verdana" w:eastAsia="Calibri" w:hAnsi="Verdana" w:cs="Times New Roman"/>
                <w:i/>
                <w:vanish/>
                <w:sz w:val="20"/>
                <w:szCs w:val="20"/>
              </w:rPr>
              <w:t xml:space="preserve">Zustellgesetz) </w:t>
            </w:r>
            <w:r w:rsidRPr="00EA6830">
              <w:rPr>
                <w:rStyle w:val="FootnoteReference"/>
                <w:rFonts w:ascii="Verdana" w:eastAsia="Calibri" w:hAnsi="Verdana" w:cs="Times New Roman"/>
                <w:sz w:val="20"/>
                <w:szCs w:val="20"/>
              </w:rPr>
              <w:footnoteReference w:id="16"/>
            </w:r>
            <w:r w:rsidRPr="00EA6830">
              <w:rPr>
                <w:rFonts w:ascii="Verdana" w:eastAsia="Calibri" w:hAnsi="Verdana" w:cs="Times New Roman"/>
                <w:sz w:val="20"/>
                <w:szCs w:val="20"/>
              </w:rPr>
              <w:t xml:space="preserve"> states that with regard to current technology, information provided must be accessible barrier-free for persons with disabilities. </w:t>
            </w:r>
            <w:r w:rsidRPr="00EA6830">
              <w:rPr>
                <w:rFonts w:ascii="Verdana" w:eastAsia="Calibri" w:hAnsi="Verdana"/>
                <w:sz w:val="20"/>
                <w:szCs w:val="20"/>
              </w:rPr>
              <w:t xml:space="preserve"> </w:t>
            </w:r>
            <w:r w:rsidRPr="00EA6830">
              <w:rPr>
                <w:rFonts w:ascii="Verdana" w:eastAsia="Calibri" w:hAnsi="Verdana" w:cs="Times New Roman"/>
                <w:sz w:val="20"/>
                <w:szCs w:val="20"/>
              </w:rPr>
              <w:t>It does not refer to particular international standards. The Service of Documents Act covers documents that are to be delivered by courts and administrative</w:t>
            </w:r>
            <w:r>
              <w:rPr>
                <w:rFonts w:ascii="Verdana" w:eastAsia="Calibri" w:hAnsi="Verdana" w:cs="Times New Roman"/>
                <w:sz w:val="20"/>
                <w:szCs w:val="20"/>
              </w:rPr>
              <w:t xml:space="preserve"> </w:t>
            </w:r>
            <w:r w:rsidRPr="00EA6830">
              <w:rPr>
                <w:rFonts w:ascii="Verdana" w:eastAsia="Calibri" w:hAnsi="Verdana" w:cs="Times New Roman"/>
                <w:sz w:val="20"/>
                <w:szCs w:val="20"/>
              </w:rPr>
              <w:t xml:space="preserve">authorities, as well as documents by foreign authorities that are to be delivered through Austrian courts or Austrian administrative authorities (see §1 of the Service of Documents Act). § 28 et seqq. Service of Documents Act regulates the electronic delivery of such documents. Note that the more specific rules of § 89a et seq. </w:t>
            </w:r>
            <w:r w:rsidRPr="00EA6830">
              <w:rPr>
                <w:rFonts w:ascii="Verdana" w:eastAsia="Calibri" w:hAnsi="Verdana" w:cs="Times New Roman"/>
                <w:sz w:val="20"/>
                <w:szCs w:val="20"/>
                <w:lang w:val="en-US"/>
              </w:rPr>
              <w:t>of the Court Organisation Act (</w:t>
            </w:r>
            <w:r w:rsidRPr="00EA6830">
              <w:rPr>
                <w:rFonts w:ascii="Verdana" w:eastAsia="Calibri" w:hAnsi="Verdana" w:cs="Times New Roman"/>
                <w:i/>
                <w:sz w:val="20"/>
                <w:szCs w:val="20"/>
                <w:lang w:val="en-US"/>
              </w:rPr>
              <w:t>Gerichtsorganisationsgesetz, GOG</w:t>
            </w:r>
            <w:r w:rsidRPr="00EA6830">
              <w:rPr>
                <w:rFonts w:ascii="Verdana" w:eastAsia="Calibri" w:hAnsi="Verdana" w:cs="Times New Roman"/>
                <w:sz w:val="20"/>
                <w:szCs w:val="20"/>
              </w:rPr>
              <w:t>) apply for the delivery of documents (structured data transfer to authorized addressees, e.g. attorneys) by courts.</w:t>
            </w:r>
            <w:r w:rsidRPr="00EA6830">
              <w:rPr>
                <w:rStyle w:val="FootnoteReference"/>
                <w:rFonts w:ascii="Verdana" w:eastAsia="Calibri" w:hAnsi="Verdana" w:cs="Times New Roman"/>
                <w:sz w:val="20"/>
                <w:szCs w:val="20"/>
              </w:rPr>
              <w:footnoteReference w:id="17"/>
            </w:r>
          </w:p>
        </w:tc>
      </w:tr>
      <w:tr w:rsidR="004F70B0" w:rsidRPr="00EA6830" w14:paraId="7F6EA2F5" w14:textId="77777777" w:rsidTr="004F70B0">
        <w:trPr>
          <w:trHeight w:val="454"/>
        </w:trPr>
        <w:tc>
          <w:tcPr>
            <w:tcW w:w="1881" w:type="pct"/>
            <w:shd w:val="clear" w:color="auto" w:fill="auto"/>
            <w:vAlign w:val="center"/>
          </w:tcPr>
          <w:p w14:paraId="7F6EA2EF" w14:textId="6C1AFDE1" w:rsidR="004F70B0" w:rsidRPr="00EA6830" w:rsidRDefault="004F70B0" w:rsidP="007A4C35">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Is th</w:t>
            </w:r>
            <w:r>
              <w:rPr>
                <w:rFonts w:ascii="Verdana" w:eastAsia="Calibri" w:hAnsi="Verdana" w:cs="Times New Roman"/>
                <w:sz w:val="20"/>
                <w:szCs w:val="20"/>
                <w:lang w:val="en-GB"/>
              </w:rPr>
              <w:t xml:space="preserve">ere a duty under law for public </w:t>
            </w:r>
            <w:r w:rsidRPr="00EA6830">
              <w:rPr>
                <w:rFonts w:ascii="Verdana" w:eastAsia="Calibri" w:hAnsi="Verdana" w:cs="Times New Roman"/>
                <w:sz w:val="20"/>
                <w:szCs w:val="20"/>
                <w:lang w:val="en-GB"/>
              </w:rPr>
              <w:t>and private providers of media (including newspapers, TV, radio and internet) to ensure that their information and communications are subject to accessibility requirements?</w:t>
            </w:r>
          </w:p>
        </w:tc>
        <w:tc>
          <w:tcPr>
            <w:tcW w:w="3119" w:type="pct"/>
          </w:tcPr>
          <w:p w14:paraId="6F6B6FAF" w14:textId="77777777" w:rsidR="004F70B0" w:rsidRPr="00EA6830" w:rsidRDefault="004F70B0" w:rsidP="004C2D46">
            <w:pPr>
              <w:spacing w:before="240"/>
              <w:contextualSpacing/>
              <w:rPr>
                <w:rFonts w:ascii="Verdana" w:hAnsi="Verdana" w:cs="Times New Roman"/>
                <w:sz w:val="20"/>
                <w:szCs w:val="20"/>
              </w:rPr>
            </w:pPr>
            <w:r w:rsidRPr="00EA6830">
              <w:rPr>
                <w:rFonts w:ascii="Verdana" w:hAnsi="Verdana" w:cs="Times New Roman"/>
                <w:sz w:val="20"/>
                <w:szCs w:val="20"/>
              </w:rPr>
              <w:t>§5 (2) of the Act on the Austrian broadcasting company ORF (</w:t>
            </w:r>
            <w:r w:rsidRPr="00EA6830">
              <w:rPr>
                <w:rFonts w:ascii="Verdana" w:hAnsi="Verdana" w:cs="Times New Roman"/>
                <w:i/>
                <w:sz w:val="20"/>
                <w:szCs w:val="20"/>
              </w:rPr>
              <w:t>ORF-Gesetz)</w:t>
            </w:r>
            <w:r w:rsidRPr="00EA6830">
              <w:rPr>
                <w:rStyle w:val="FootnoteReference"/>
                <w:rFonts w:ascii="Verdana" w:hAnsi="Verdana" w:cs="Times New Roman"/>
                <w:sz w:val="20"/>
                <w:szCs w:val="20"/>
              </w:rPr>
              <w:footnoteReference w:id="18"/>
            </w:r>
            <w:r w:rsidRPr="00EA6830">
              <w:rPr>
                <w:rFonts w:ascii="Verdana" w:hAnsi="Verdana" w:cs="Times New Roman"/>
                <w:sz w:val="20"/>
                <w:szCs w:val="20"/>
              </w:rPr>
              <w:t xml:space="preserve"> states that “information broadcasts should get organised (if technically possible and economically acceptable) in a way that makes it easier for deaf persons to understand them. Furthermore the proportion of broadcasts which are accessible for blind and deaf persons must increase continuously compared to the status of 31 December 2009[…]”. The law furthermore obliges the public broadcaster ORF to create a yearly action plan on the continuing extension of </w:t>
            </w:r>
            <w:r w:rsidRPr="00EA6830">
              <w:rPr>
                <w:rFonts w:ascii="Verdana" w:hAnsi="Verdana" w:cs="Times New Roman"/>
                <w:sz w:val="20"/>
                <w:szCs w:val="20"/>
              </w:rPr>
              <w:lastRenderedPageBreak/>
              <w:t>the accessibility to the television broadcasts as well as to web services. In general the ORF must have the goal to subtitle all its television broadcasts. Via desk research no such action plans or deadlines for implementation of subtitles could be found. The Austrian Deaf Association (</w:t>
            </w:r>
            <w:r w:rsidRPr="00EA6830">
              <w:rPr>
                <w:rFonts w:ascii="Verdana" w:hAnsi="Verdana" w:cs="Times New Roman"/>
                <w:i/>
                <w:sz w:val="20"/>
                <w:szCs w:val="20"/>
              </w:rPr>
              <w:t>Österreichischer Gehörlosenbund)</w:t>
            </w:r>
            <w:r w:rsidRPr="00EA6830">
              <w:rPr>
                <w:rFonts w:ascii="Verdana" w:hAnsi="Verdana" w:cs="Times New Roman"/>
                <w:sz w:val="20"/>
                <w:szCs w:val="20"/>
              </w:rPr>
              <w:t xml:space="preserve"> </w:t>
            </w:r>
            <w:r w:rsidRPr="00EA6830">
              <w:rPr>
                <w:rFonts w:ascii="Verdana" w:hAnsi="Verdana" w:cs="Times New Roman"/>
                <w:sz w:val="20"/>
                <w:szCs w:val="20"/>
                <w:lang w:val="en-GB"/>
              </w:rPr>
              <w:t>criticised</w:t>
            </w:r>
            <w:r w:rsidRPr="00EA6830">
              <w:rPr>
                <w:rFonts w:ascii="Verdana" w:hAnsi="Verdana" w:cs="Times New Roman"/>
                <w:sz w:val="20"/>
                <w:szCs w:val="20"/>
              </w:rPr>
              <w:t xml:space="preserve"> the provision as being far too vague when the act was still in the drafting period.</w:t>
            </w:r>
            <w:r w:rsidRPr="00EA6830">
              <w:rPr>
                <w:rStyle w:val="FootnoteReference"/>
                <w:rFonts w:ascii="Verdana" w:hAnsi="Verdana" w:cs="Times New Roman"/>
                <w:sz w:val="20"/>
                <w:szCs w:val="20"/>
              </w:rPr>
              <w:footnoteReference w:id="19"/>
            </w:r>
          </w:p>
          <w:p w14:paraId="2B30E680" w14:textId="77777777" w:rsidR="004F70B0" w:rsidRPr="00EA6830" w:rsidRDefault="004F70B0" w:rsidP="00EA04F8">
            <w:pPr>
              <w:spacing w:before="240"/>
              <w:contextualSpacing/>
              <w:rPr>
                <w:rFonts w:ascii="Verdana" w:hAnsi="Verdana" w:cs="Times New Roman"/>
                <w:sz w:val="20"/>
                <w:szCs w:val="20"/>
              </w:rPr>
            </w:pPr>
          </w:p>
          <w:p w14:paraId="1FA78EBC" w14:textId="5D68ABE5" w:rsidR="004F70B0" w:rsidRPr="00EA6830" w:rsidRDefault="004F70B0" w:rsidP="00EA04F8">
            <w:pPr>
              <w:spacing w:before="240"/>
              <w:contextualSpacing/>
              <w:rPr>
                <w:rFonts w:ascii="Verdana" w:hAnsi="Verdana" w:cs="Times New Roman"/>
                <w:sz w:val="20"/>
                <w:szCs w:val="20"/>
              </w:rPr>
            </w:pPr>
            <w:r w:rsidRPr="00EA6830">
              <w:rPr>
                <w:rFonts w:ascii="Verdana" w:hAnsi="Verdana" w:cs="Times New Roman"/>
                <w:sz w:val="20"/>
                <w:szCs w:val="20"/>
              </w:rPr>
              <w:t>The action plan (</w:t>
            </w:r>
            <w:r w:rsidRPr="00EA6830">
              <w:rPr>
                <w:rFonts w:ascii="Verdana" w:hAnsi="Verdana" w:cs="Times New Roman"/>
                <w:i/>
                <w:sz w:val="20"/>
                <w:szCs w:val="20"/>
              </w:rPr>
              <w:t>Etappenplan</w:t>
            </w:r>
            <w:r w:rsidRPr="00EA6830">
              <w:rPr>
                <w:rFonts w:ascii="Verdana" w:hAnsi="Verdana" w:cs="Times New Roman"/>
                <w:sz w:val="20"/>
                <w:szCs w:val="20"/>
              </w:rPr>
              <w:t>) is presented to the members of the ORF foundation council (ORF Stiftungsrat) as well as to the public annually. It gives a review on facts and figures concerning access services provided by ORF both for deaf and hard of hearing as well as blind and visually impaired people. In addition ORF annually has to provide detailed information about accessibility to all four programmes and the video-on-demand-service to the Federal Chancellor and the regulatory agency</w:t>
            </w:r>
            <w:r w:rsidRPr="00EA6830">
              <w:rPr>
                <w:rStyle w:val="FootnoteReference"/>
                <w:rFonts w:ascii="Verdana" w:hAnsi="Verdana" w:cs="Times New Roman"/>
                <w:sz w:val="20"/>
                <w:szCs w:val="20"/>
              </w:rPr>
              <w:footnoteReference w:id="20"/>
            </w:r>
            <w:r w:rsidRPr="00EA6830">
              <w:rPr>
                <w:rFonts w:ascii="Verdana" w:hAnsi="Verdana" w:cs="Times New Roman"/>
                <w:sz w:val="20"/>
                <w:szCs w:val="20"/>
              </w:rPr>
              <w:t>. The Annual Report of the ORF</w:t>
            </w:r>
            <w:r w:rsidRPr="00EA6830">
              <w:rPr>
                <w:rStyle w:val="FootnoteReference"/>
                <w:rFonts w:ascii="Verdana" w:hAnsi="Verdana" w:cs="Times New Roman"/>
                <w:sz w:val="20"/>
                <w:szCs w:val="20"/>
              </w:rPr>
              <w:footnoteReference w:id="21"/>
            </w:r>
            <w:r w:rsidRPr="00EA6830">
              <w:rPr>
                <w:rFonts w:ascii="Verdana" w:hAnsi="Verdana" w:cs="Times New Roman"/>
                <w:sz w:val="20"/>
                <w:szCs w:val="20"/>
              </w:rPr>
              <w:t xml:space="preserve"> gives further details on the current status. </w:t>
            </w:r>
          </w:p>
          <w:p w14:paraId="7A1B86A1" w14:textId="30C306C4" w:rsidR="004F70B0" w:rsidRPr="00EA6830" w:rsidRDefault="004F70B0" w:rsidP="00EA04F8">
            <w:pPr>
              <w:spacing w:before="240"/>
              <w:contextualSpacing/>
              <w:rPr>
                <w:rFonts w:ascii="Verdana" w:hAnsi="Verdana" w:cs="Times New Roman"/>
                <w:sz w:val="20"/>
                <w:szCs w:val="20"/>
              </w:rPr>
            </w:pPr>
            <w:r w:rsidRPr="00EA6830">
              <w:rPr>
                <w:rFonts w:ascii="Verdana" w:hAnsi="Verdana" w:cs="Times New Roman"/>
                <w:sz w:val="20"/>
                <w:szCs w:val="20"/>
              </w:rPr>
              <w:t>The National Action Plan on Disability 2012–2020 foresees in measure 102 a step-by-step increase of accessible programs on the ORF and other audio-visual media services till 2020. Measure 103 foresees that the ORF.at website is being made accessible in the course of its gradual technical modernisation, and corresponds to the internationally</w:t>
            </w:r>
            <w:r>
              <w:rPr>
                <w:rFonts w:ascii="Verdana" w:hAnsi="Verdana" w:cs="Times New Roman"/>
                <w:sz w:val="20"/>
                <w:szCs w:val="20"/>
              </w:rPr>
              <w:t xml:space="preserve"> </w:t>
            </w:r>
            <w:r w:rsidRPr="00EA6830">
              <w:rPr>
                <w:rFonts w:ascii="Verdana" w:hAnsi="Verdana" w:cs="Times New Roman"/>
                <w:sz w:val="20"/>
                <w:szCs w:val="20"/>
              </w:rPr>
              <w:t>recognised standards for the creation of accessible web contents (WCAG 2.0).</w:t>
            </w:r>
            <w:r w:rsidRPr="00EA6830">
              <w:rPr>
                <w:rStyle w:val="FootnoteReference"/>
                <w:rFonts w:ascii="Verdana" w:hAnsi="Verdana" w:cs="Times New Roman"/>
                <w:sz w:val="20"/>
                <w:szCs w:val="20"/>
              </w:rPr>
              <w:footnoteReference w:id="22"/>
            </w:r>
          </w:p>
          <w:p w14:paraId="0D08C182" w14:textId="77777777" w:rsidR="004F70B0" w:rsidRPr="00EA6830" w:rsidRDefault="004F70B0" w:rsidP="00EA04F8">
            <w:pPr>
              <w:spacing w:before="240"/>
              <w:contextualSpacing/>
              <w:rPr>
                <w:rFonts w:ascii="Verdana" w:hAnsi="Verdana" w:cs="Times New Roman"/>
                <w:sz w:val="20"/>
                <w:szCs w:val="20"/>
              </w:rPr>
            </w:pPr>
          </w:p>
          <w:p w14:paraId="7F6EA2F4" w14:textId="18ACE9C4" w:rsidR="004F70B0" w:rsidRPr="00EA6830" w:rsidRDefault="004F70B0" w:rsidP="002C0B6D">
            <w:pPr>
              <w:rPr>
                <w:rFonts w:ascii="Verdana" w:eastAsia="Calibri" w:hAnsi="Verdana" w:cs="Times New Roman"/>
                <w:sz w:val="20"/>
                <w:szCs w:val="20"/>
                <w:lang w:val="en-US"/>
              </w:rPr>
            </w:pPr>
            <w:r w:rsidRPr="00EA6830">
              <w:rPr>
                <w:rFonts w:ascii="Verdana" w:hAnsi="Verdana" w:cs="Times New Roman"/>
                <w:sz w:val="20"/>
                <w:szCs w:val="20"/>
              </w:rPr>
              <w:t>§30 (3) of the Act on Audio-visual Media (</w:t>
            </w:r>
            <w:r w:rsidRPr="00EA6830">
              <w:rPr>
                <w:rFonts w:ascii="Verdana" w:hAnsi="Verdana" w:cs="Times New Roman"/>
                <w:i/>
                <w:sz w:val="20"/>
                <w:szCs w:val="20"/>
              </w:rPr>
              <w:t>Audi</w:t>
            </w:r>
            <w:r>
              <w:rPr>
                <w:rFonts w:ascii="Verdana" w:hAnsi="Verdana" w:cs="Times New Roman"/>
                <w:i/>
                <w:sz w:val="20"/>
                <w:szCs w:val="20"/>
              </w:rPr>
              <w:t>o</w:t>
            </w:r>
            <w:r w:rsidRPr="00EA6830">
              <w:rPr>
                <w:rFonts w:ascii="Verdana" w:hAnsi="Verdana" w:cs="Times New Roman"/>
                <w:i/>
                <w:sz w:val="20"/>
                <w:szCs w:val="20"/>
              </w:rPr>
              <w:t>visuelle Mediendienste-Gesetz)</w:t>
            </w:r>
            <w:r w:rsidRPr="00EA6830">
              <w:rPr>
                <w:rStyle w:val="FootnoteReference"/>
                <w:rFonts w:ascii="Verdana" w:hAnsi="Verdana" w:cs="Times New Roman"/>
                <w:sz w:val="20"/>
                <w:szCs w:val="20"/>
              </w:rPr>
              <w:footnoteReference w:id="23"/>
            </w:r>
            <w:r w:rsidRPr="00EA6830">
              <w:rPr>
                <w:rFonts w:ascii="Verdana" w:hAnsi="Verdana" w:cs="Times New Roman"/>
                <w:sz w:val="20"/>
                <w:szCs w:val="20"/>
              </w:rPr>
              <w:t xml:space="preserve"> stipulates that all media services should become accessible for persons with disabilities step by step.  There is no deadline envisaged by the Act.</w:t>
            </w:r>
          </w:p>
        </w:tc>
      </w:tr>
      <w:tr w:rsidR="004F70B0" w:rsidRPr="00EA6830" w14:paraId="59878BD5" w14:textId="77777777" w:rsidTr="004F70B0">
        <w:trPr>
          <w:trHeight w:val="454"/>
        </w:trPr>
        <w:tc>
          <w:tcPr>
            <w:tcW w:w="1881" w:type="pct"/>
            <w:shd w:val="clear" w:color="auto" w:fill="auto"/>
            <w:vAlign w:val="center"/>
          </w:tcPr>
          <w:p w14:paraId="5056E951" w14:textId="4D27BCFF" w:rsidR="004F70B0" w:rsidRPr="00EA6830" w:rsidRDefault="004F70B0" w:rsidP="00C177D6">
            <w:pPr>
              <w:spacing w:before="240"/>
              <w:contextualSpacing/>
              <w:rPr>
                <w:rFonts w:ascii="Verdana" w:eastAsia="Calibri" w:hAnsi="Verdana" w:cs="Times New Roman"/>
                <w:sz w:val="20"/>
                <w:szCs w:val="20"/>
                <w:lang w:val="en-GB"/>
              </w:rPr>
            </w:pPr>
            <w:r w:rsidRPr="00EA6830">
              <w:rPr>
                <w:rFonts w:ascii="Verdana" w:hAnsi="Verdana"/>
                <w:sz w:val="20"/>
                <w:szCs w:val="20"/>
              </w:rPr>
              <w:lastRenderedPageBreak/>
              <w:t>Are there mandatory accessibility standards for the construction and significant alternation of national and local authority buildings?</w:t>
            </w:r>
          </w:p>
        </w:tc>
        <w:tc>
          <w:tcPr>
            <w:tcW w:w="3119" w:type="pct"/>
            <w:shd w:val="clear" w:color="auto" w:fill="auto"/>
            <w:vAlign w:val="center"/>
          </w:tcPr>
          <w:p w14:paraId="1831EB13" w14:textId="77777777" w:rsidR="004F70B0" w:rsidRPr="00EA6830" w:rsidRDefault="004F70B0" w:rsidP="00AE0809">
            <w:pPr>
              <w:rPr>
                <w:rFonts w:ascii="Verdana" w:hAnsi="Verdana" w:cstheme="minorHAnsi"/>
                <w:color w:val="000000"/>
                <w:sz w:val="20"/>
                <w:szCs w:val="20"/>
                <w:lang w:val="en"/>
              </w:rPr>
            </w:pPr>
            <w:r w:rsidRPr="00EA6830">
              <w:rPr>
                <w:rFonts w:ascii="Verdana" w:hAnsi="Verdana" w:cstheme="minorHAnsi"/>
                <w:color w:val="000000"/>
                <w:sz w:val="20"/>
                <w:szCs w:val="20"/>
                <w:lang w:val="en"/>
              </w:rPr>
              <w:t>Accessibility of the built environment is covered by the Federal Disability Equality Act as far as federal buildings and private businesses are concerned. The Act says that access is given if buildings or services offered to the public can be used by people with disabilities without any particular difficulty and in principle without any outside help. According to the Federal Disability Act, a step-by-step plan was established to make all federal buildings accessible by the end of 2015. In 2010, the federal government postponed this deadline until 2019 in the framework of consolidating the budget. The Federal Disability Equality Act</w:t>
            </w:r>
            <w:r w:rsidRPr="00EA6830">
              <w:rPr>
                <w:rStyle w:val="FootnoteReference"/>
                <w:rFonts w:ascii="Verdana" w:hAnsi="Verdana" w:cstheme="minorHAnsi"/>
                <w:color w:val="000000"/>
                <w:sz w:val="20"/>
                <w:szCs w:val="20"/>
                <w:lang w:val="en"/>
              </w:rPr>
              <w:footnoteReference w:id="24"/>
            </w:r>
            <w:r w:rsidRPr="00EA6830">
              <w:rPr>
                <w:rFonts w:ascii="Verdana" w:hAnsi="Verdana" w:cstheme="minorHAnsi"/>
                <w:color w:val="000000"/>
                <w:sz w:val="20"/>
                <w:szCs w:val="20"/>
                <w:lang w:val="en"/>
              </w:rPr>
              <w:t xml:space="preserve"> provides grounds for a claim to compensation for facing barriers but it does not provide any obligation or claim to remove barriers. Due to the long period of transition for the implementation of the Act by 2015, steps to eliminate physical barriers are taken at the discretion of businesses in line with their economic priorities. Apart from Federal buildings, building laws are the responsibility of the nine provinces and nine further laws cover the issue of accessibility differently. Additionally, each province has individual technical regulations for planning and buildings. The provincial laws as well as the technical regulations deal with accessibility quite differently with regard to standards and quality. No comprehensive overview is available on the overall situation in Austria. In 2005, the Austrian Parliament passed a resolution that requested the Minister for Social Affairs to negotiate with the provinces for a unified contract for accessibility provisions in the planning and building laws. This led to standard guidelines</w:t>
            </w:r>
            <w:r w:rsidRPr="00EA6830">
              <w:rPr>
                <w:rStyle w:val="FootnoteReference"/>
                <w:rFonts w:ascii="Verdana" w:hAnsi="Verdana" w:cstheme="minorHAnsi"/>
                <w:color w:val="000000"/>
                <w:sz w:val="20"/>
                <w:szCs w:val="20"/>
                <w:lang w:val="en"/>
              </w:rPr>
              <w:footnoteReference w:id="25"/>
            </w:r>
            <w:r w:rsidRPr="00EA6830">
              <w:rPr>
                <w:rFonts w:ascii="Verdana" w:hAnsi="Verdana" w:cstheme="minorHAnsi"/>
                <w:color w:val="000000"/>
                <w:sz w:val="20"/>
                <w:szCs w:val="20"/>
                <w:lang w:val="en"/>
              </w:rPr>
              <w:t xml:space="preserve"> on accessibility for planning and building which were developed by the Austrian Institute for Structural Engineering (</w:t>
            </w:r>
            <w:r w:rsidRPr="00EA6830">
              <w:rPr>
                <w:rFonts w:ascii="Verdana" w:hAnsi="Verdana" w:cstheme="minorHAnsi"/>
                <w:i/>
                <w:color w:val="000000"/>
                <w:sz w:val="20"/>
                <w:szCs w:val="20"/>
                <w:lang w:val="en"/>
              </w:rPr>
              <w:t>Österreichisches Institut für Bautechnik</w:t>
            </w:r>
            <w:r w:rsidRPr="00EA6830">
              <w:rPr>
                <w:rFonts w:ascii="Verdana" w:hAnsi="Verdana" w:cstheme="minorHAnsi"/>
                <w:color w:val="000000"/>
                <w:sz w:val="20"/>
                <w:szCs w:val="20"/>
                <w:lang w:val="en"/>
              </w:rPr>
              <w:t xml:space="preserve">) in 2007 and which were also agreed </w:t>
            </w:r>
            <w:r w:rsidRPr="00EA6830">
              <w:rPr>
                <w:rFonts w:ascii="Verdana" w:hAnsi="Verdana" w:cstheme="minorHAnsi"/>
                <w:color w:val="000000"/>
                <w:sz w:val="20"/>
                <w:szCs w:val="20"/>
                <w:lang w:val="en"/>
              </w:rPr>
              <w:lastRenderedPageBreak/>
              <w:t xml:space="preserve">upon with all provinces. By November 2012, Burgenland, Steiermark, Tyrol, Vorarlberg and Vienna had adopted the standard guidelines on user security and accessibility as mandatory regulations. </w:t>
            </w:r>
          </w:p>
          <w:p w14:paraId="6F6480F3" w14:textId="77777777" w:rsidR="004F70B0" w:rsidRPr="00EA6830" w:rsidRDefault="004F70B0" w:rsidP="00AE0809">
            <w:pPr>
              <w:rPr>
                <w:rFonts w:ascii="Verdana" w:hAnsi="Verdana" w:cstheme="minorHAnsi"/>
                <w:color w:val="000000"/>
                <w:sz w:val="20"/>
                <w:szCs w:val="20"/>
                <w:lang w:val="en"/>
              </w:rPr>
            </w:pPr>
          </w:p>
          <w:p w14:paraId="41F4705E" w14:textId="1E2CC2BD" w:rsidR="004F70B0" w:rsidRPr="00EA6830" w:rsidRDefault="004F70B0" w:rsidP="007860FF">
            <w:pPr>
              <w:rPr>
                <w:rFonts w:ascii="Verdana" w:hAnsi="Verdana" w:cstheme="minorHAnsi"/>
                <w:color w:val="000000"/>
                <w:sz w:val="20"/>
                <w:szCs w:val="20"/>
                <w:lang w:val="en"/>
              </w:rPr>
            </w:pPr>
            <w:r w:rsidRPr="00EA6830">
              <w:rPr>
                <w:rFonts w:ascii="Verdana" w:hAnsi="Verdana" w:cstheme="minorHAnsi"/>
                <w:color w:val="000000"/>
                <w:sz w:val="20"/>
                <w:szCs w:val="20"/>
                <w:lang w:val="en"/>
              </w:rPr>
              <w:t xml:space="preserve">No comprehensive overview is available, if these five provinces adopted the guidelines fully or partly. It is unclear when the four remaining provinces will make the guidelines mandatory. </w:t>
            </w:r>
          </w:p>
        </w:tc>
      </w:tr>
      <w:tr w:rsidR="004F70B0" w:rsidRPr="00EA6830" w14:paraId="284F0D46" w14:textId="77777777" w:rsidTr="004F70B0">
        <w:trPr>
          <w:trHeight w:val="454"/>
        </w:trPr>
        <w:tc>
          <w:tcPr>
            <w:tcW w:w="1881" w:type="pct"/>
            <w:shd w:val="clear" w:color="auto" w:fill="auto"/>
            <w:vAlign w:val="center"/>
          </w:tcPr>
          <w:p w14:paraId="563D15F5" w14:textId="77777777" w:rsidR="004F70B0" w:rsidRPr="00EA6830" w:rsidRDefault="004F70B0" w:rsidP="005B3AC5">
            <w:pPr>
              <w:rPr>
                <w:rFonts w:ascii="Verdana" w:hAnsi="Verdana"/>
                <w:sz w:val="20"/>
                <w:szCs w:val="20"/>
              </w:rPr>
            </w:pPr>
            <w:r w:rsidRPr="00EA6830">
              <w:rPr>
                <w:rFonts w:ascii="Verdana" w:hAnsi="Verdana"/>
                <w:sz w:val="20"/>
                <w:szCs w:val="20"/>
              </w:rPr>
              <w:lastRenderedPageBreak/>
              <w:t>Is there legislation requiring that polling stations and voting processes be accessible to persons with disabilities (e.g. a certain percentage of polling stations must be accessible, one polling station per electoral district must be accessible etc)?</w:t>
            </w:r>
          </w:p>
          <w:p w14:paraId="008028DB" w14:textId="77777777" w:rsidR="004F70B0" w:rsidRPr="00EA6830" w:rsidRDefault="004F70B0" w:rsidP="005B3AC5">
            <w:pPr>
              <w:rPr>
                <w:rFonts w:ascii="Verdana" w:hAnsi="Verdana"/>
                <w:sz w:val="20"/>
                <w:szCs w:val="20"/>
              </w:rPr>
            </w:pPr>
          </w:p>
          <w:p w14:paraId="7DD7023F" w14:textId="4FAC0CA9" w:rsidR="004F70B0" w:rsidRPr="00EA6830" w:rsidRDefault="004F70B0" w:rsidP="005B3AC5">
            <w:pPr>
              <w:spacing w:before="240"/>
              <w:contextualSpacing/>
              <w:rPr>
                <w:rFonts w:ascii="Verdana" w:eastAsia="Calibri" w:hAnsi="Verdana" w:cs="Times New Roman"/>
                <w:sz w:val="20"/>
                <w:szCs w:val="20"/>
                <w:lang w:val="en-GB"/>
              </w:rPr>
            </w:pPr>
            <w:r w:rsidRPr="00EA6830">
              <w:rPr>
                <w:rFonts w:ascii="Verdana" w:hAnsi="Verdana"/>
                <w:sz w:val="20"/>
                <w:szCs w:val="20"/>
              </w:rPr>
              <w:t>Please indicate whether the legislation requires that polling stations and voting processes are accessible for all persons with disabilities or for particular impairment groups (e.g. persons with visual, hearing, physical impairments etc).</w:t>
            </w:r>
          </w:p>
        </w:tc>
        <w:tc>
          <w:tcPr>
            <w:tcW w:w="3119" w:type="pct"/>
            <w:shd w:val="clear" w:color="auto" w:fill="auto"/>
            <w:vAlign w:val="center"/>
          </w:tcPr>
          <w:p w14:paraId="44E1DFAF" w14:textId="74F23D06" w:rsidR="004F70B0" w:rsidRPr="00EA6830" w:rsidRDefault="004F70B0" w:rsidP="00BE046E">
            <w:pPr>
              <w:spacing w:before="240"/>
              <w:contextualSpacing/>
              <w:rPr>
                <w:rFonts w:ascii="Verdana" w:eastAsia="Calibri" w:hAnsi="Verdana" w:cs="Times New Roman"/>
                <w:sz w:val="20"/>
                <w:szCs w:val="20"/>
                <w:lang w:val="en-GB"/>
              </w:rPr>
            </w:pPr>
            <w:r w:rsidRPr="00EA6830">
              <w:rPr>
                <w:rFonts w:ascii="Verdana" w:hAnsi="Verdana"/>
                <w:sz w:val="20"/>
                <w:szCs w:val="20"/>
              </w:rPr>
              <w:t>In every municipality at least one barrier-free polling station must be set up according to §52 (5) National Assembly Election Order (</w:t>
            </w:r>
            <w:r w:rsidRPr="00EA6830">
              <w:rPr>
                <w:rFonts w:ascii="Verdana" w:hAnsi="Verdana"/>
                <w:i/>
                <w:sz w:val="20"/>
                <w:szCs w:val="20"/>
              </w:rPr>
              <w:t>Nationalratswahlordnung</w:t>
            </w:r>
            <w:r w:rsidRPr="00EA6830">
              <w:rPr>
                <w:rFonts w:ascii="Verdana" w:hAnsi="Verdana"/>
                <w:sz w:val="20"/>
                <w:szCs w:val="20"/>
              </w:rPr>
              <w:t>, NRWO) and §66 (1) NRWO.</w:t>
            </w:r>
          </w:p>
        </w:tc>
      </w:tr>
      <w:tr w:rsidR="004F70B0" w:rsidRPr="00EA6830" w14:paraId="7F6EA2FF" w14:textId="77777777" w:rsidTr="004F70B0">
        <w:trPr>
          <w:trHeight w:val="454"/>
        </w:trPr>
        <w:tc>
          <w:tcPr>
            <w:tcW w:w="1881" w:type="pct"/>
            <w:vAlign w:val="center"/>
          </w:tcPr>
          <w:p w14:paraId="7F6EA2F7" w14:textId="77777777" w:rsidR="004F70B0" w:rsidRPr="00EA6830" w:rsidRDefault="004F70B0" w:rsidP="00C177D6">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Does the law foresee training for election authorities and election officials on non-discrimination on the grounds of disability, accessibility and reasonable accommodation?</w:t>
            </w:r>
          </w:p>
        </w:tc>
        <w:tc>
          <w:tcPr>
            <w:tcW w:w="3119" w:type="pct"/>
            <w:vAlign w:val="center"/>
          </w:tcPr>
          <w:p w14:paraId="7F6EA2FA" w14:textId="067DA979" w:rsidR="004F70B0" w:rsidRPr="00EA6830" w:rsidRDefault="004F70B0" w:rsidP="00A955A9">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None of the election laws (for European Parliament, National Assembly and Municipal elections) foresee training for election authorities on non-discrimination on the grounds of disability.</w:t>
            </w:r>
            <w:r w:rsidRPr="00EA6830">
              <w:rPr>
                <w:rStyle w:val="FootnoteReference"/>
                <w:rFonts w:ascii="Verdana" w:eastAsia="Calibri" w:hAnsi="Verdana" w:cs="Times New Roman"/>
                <w:sz w:val="20"/>
                <w:szCs w:val="20"/>
                <w:lang w:val="en-GB"/>
              </w:rPr>
              <w:footnoteReference w:id="26"/>
            </w:r>
            <w:r w:rsidRPr="00EA6830">
              <w:rPr>
                <w:rFonts w:ascii="Verdana" w:eastAsia="Calibri" w:hAnsi="Verdana" w:cs="Times New Roman"/>
                <w:sz w:val="20"/>
                <w:szCs w:val="20"/>
                <w:lang w:val="en-GB"/>
              </w:rPr>
              <w:t xml:space="preserve"> No evidence could be found in intensive desk research of availab</w:t>
            </w:r>
            <w:r>
              <w:rPr>
                <w:rFonts w:ascii="Verdana" w:eastAsia="Calibri" w:hAnsi="Verdana" w:cs="Times New Roman"/>
                <w:sz w:val="20"/>
                <w:szCs w:val="20"/>
                <w:lang w:val="en-GB"/>
              </w:rPr>
              <w:t>ility of guidance on training.</w:t>
            </w:r>
          </w:p>
          <w:p w14:paraId="7F6EA2FB" w14:textId="77777777" w:rsidR="004F70B0" w:rsidRPr="00EA6830" w:rsidRDefault="004F70B0" w:rsidP="002B2BF3">
            <w:pPr>
              <w:spacing w:before="240"/>
              <w:contextualSpacing/>
              <w:rPr>
                <w:rFonts w:ascii="Verdana" w:eastAsia="Calibri" w:hAnsi="Verdana" w:cs="Times New Roman"/>
                <w:sz w:val="20"/>
                <w:szCs w:val="20"/>
                <w:lang w:val="en-US"/>
              </w:rPr>
            </w:pPr>
          </w:p>
          <w:p w14:paraId="7F6EA2FC" w14:textId="3607562D" w:rsidR="004F70B0" w:rsidRPr="00EA6830" w:rsidRDefault="004F70B0" w:rsidP="00D415EA">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lastRenderedPageBreak/>
              <w:t>The Elections to the Parliament Act §52(5)), the European Parliament Act §39(6) and seven Municipal Election Acts foresee that every municipality should provide at least one polling station which is accessible for persons with disabilities.</w:t>
            </w:r>
            <w:r w:rsidRPr="00EA6830">
              <w:rPr>
                <w:rStyle w:val="FootnoteReference"/>
                <w:rFonts w:ascii="Verdana" w:eastAsia="Calibri" w:hAnsi="Verdana" w:cs="Times New Roman"/>
                <w:sz w:val="20"/>
                <w:szCs w:val="20"/>
                <w:lang w:val="en-GB"/>
              </w:rPr>
              <w:footnoteReference w:id="27"/>
            </w:r>
            <w:r w:rsidRPr="00EA6830">
              <w:rPr>
                <w:rStyle w:val="FootnoteReference"/>
                <w:rFonts w:ascii="Verdana" w:eastAsia="Calibri" w:hAnsi="Verdana" w:cs="Times New Roman"/>
                <w:sz w:val="20"/>
                <w:szCs w:val="20"/>
                <w:lang w:val="en-GB"/>
              </w:rPr>
              <w:t xml:space="preserve"> </w:t>
            </w:r>
            <w:r w:rsidRPr="00EA6830">
              <w:rPr>
                <w:rFonts w:ascii="Verdana" w:eastAsia="Calibri" w:hAnsi="Verdana" w:cs="Times New Roman"/>
                <w:sz w:val="20"/>
                <w:szCs w:val="20"/>
                <w:lang w:val="en-US"/>
              </w:rPr>
              <w:t>However, because of the phrase “wherever technically possible” this regulation is not binding.</w:t>
            </w:r>
            <w:r w:rsidRPr="00EA6830">
              <w:rPr>
                <w:rStyle w:val="FootnoteReference"/>
                <w:rFonts w:ascii="Verdana" w:eastAsia="Calibri" w:hAnsi="Verdana" w:cs="Times New Roman"/>
                <w:sz w:val="20"/>
                <w:szCs w:val="20"/>
                <w:lang w:val="en-US"/>
              </w:rPr>
              <w:footnoteReference w:id="28"/>
            </w:r>
            <w:r w:rsidRPr="00EA6830">
              <w:rPr>
                <w:rFonts w:ascii="Verdana" w:eastAsia="Calibri" w:hAnsi="Verdana" w:cs="Times New Roman"/>
                <w:sz w:val="20"/>
                <w:szCs w:val="20"/>
                <w:lang w:val="en-US"/>
              </w:rPr>
              <w:t xml:space="preserve"> § 52 (5) NRWO states, that where technically possible, one polling stations has to be accessible for physically impaired persons, and – if technically possible – guidance system for visually impaired persons should be installed. § 39 (6) EuWO is identical in its wording.  </w:t>
            </w:r>
          </w:p>
          <w:p w14:paraId="7F6EA2FD" w14:textId="77777777" w:rsidR="004F70B0" w:rsidRPr="00EA6830" w:rsidRDefault="004F70B0" w:rsidP="002B2BF3">
            <w:pPr>
              <w:spacing w:before="240"/>
              <w:contextualSpacing/>
              <w:rPr>
                <w:rFonts w:ascii="Verdana" w:eastAsia="Calibri" w:hAnsi="Verdana" w:cs="Times New Roman"/>
                <w:sz w:val="20"/>
                <w:szCs w:val="20"/>
                <w:lang w:val="en-US"/>
              </w:rPr>
            </w:pPr>
          </w:p>
          <w:p w14:paraId="7F6EA2FE" w14:textId="77777777" w:rsidR="004F70B0" w:rsidRPr="00EA6830" w:rsidRDefault="004F70B0" w:rsidP="00AF6504">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The same Acts state that for blind and strong visually impaired persons a guidance system should be installed if technically possible.</w:t>
            </w:r>
            <w:r w:rsidRPr="00EA6830">
              <w:rPr>
                <w:rStyle w:val="FootnoteReference"/>
                <w:rFonts w:ascii="Verdana" w:eastAsia="Calibri" w:hAnsi="Verdana" w:cs="Times New Roman"/>
                <w:sz w:val="20"/>
                <w:szCs w:val="20"/>
                <w:lang w:val="en-GB"/>
              </w:rPr>
              <w:t xml:space="preserve"> </w:t>
            </w:r>
          </w:p>
        </w:tc>
      </w:tr>
      <w:tr w:rsidR="004F70B0" w:rsidRPr="00EA6830" w14:paraId="6DCBE761" w14:textId="77777777" w:rsidTr="004F70B0">
        <w:trPr>
          <w:trHeight w:val="454"/>
        </w:trPr>
        <w:tc>
          <w:tcPr>
            <w:tcW w:w="1881" w:type="pct"/>
            <w:shd w:val="clear" w:color="auto" w:fill="auto"/>
            <w:vAlign w:val="center"/>
          </w:tcPr>
          <w:p w14:paraId="558D70FA" w14:textId="41A799B5" w:rsidR="004F70B0" w:rsidRPr="00EA6830" w:rsidRDefault="004F70B0" w:rsidP="00C65DB4">
            <w:pPr>
              <w:spacing w:before="240"/>
              <w:contextualSpacing/>
              <w:rPr>
                <w:rFonts w:ascii="Verdana" w:eastAsia="Calibri" w:hAnsi="Verdana" w:cs="Times New Roman"/>
                <w:sz w:val="20"/>
                <w:szCs w:val="20"/>
                <w:lang w:val="en-GB"/>
              </w:rPr>
            </w:pPr>
            <w:r w:rsidRPr="00EA6830">
              <w:rPr>
                <w:rFonts w:ascii="Verdana" w:hAnsi="Verdana"/>
                <w:sz w:val="20"/>
                <w:szCs w:val="20"/>
              </w:rPr>
              <w:lastRenderedPageBreak/>
              <w:t>Does the national strategy/action plan on disability cover the right to political participation of persons with disabilities?</w:t>
            </w:r>
          </w:p>
        </w:tc>
        <w:tc>
          <w:tcPr>
            <w:tcW w:w="3119" w:type="pct"/>
            <w:shd w:val="clear" w:color="auto" w:fill="auto"/>
            <w:vAlign w:val="center"/>
          </w:tcPr>
          <w:p w14:paraId="47B45FCC" w14:textId="0CF1EDE9" w:rsidR="004F70B0" w:rsidRPr="00EA6830" w:rsidRDefault="004F70B0" w:rsidP="00864532">
            <w:pPr>
              <w:rPr>
                <w:rFonts w:ascii="Verdana" w:hAnsi="Verdana" w:cstheme="minorHAnsi"/>
                <w:color w:val="000000"/>
                <w:sz w:val="20"/>
                <w:szCs w:val="20"/>
              </w:rPr>
            </w:pPr>
            <w:r w:rsidRPr="00EA6830">
              <w:rPr>
                <w:rFonts w:ascii="Verdana" w:hAnsi="Verdana" w:cstheme="minorHAnsi"/>
                <w:color w:val="000000"/>
                <w:sz w:val="20"/>
                <w:szCs w:val="20"/>
              </w:rPr>
              <w:t>Measure 190 of the National Action Plan on Disability 2012-2020 (</w:t>
            </w:r>
            <w:r w:rsidRPr="00EA6830">
              <w:rPr>
                <w:rFonts w:ascii="Verdana" w:hAnsi="Verdana"/>
                <w:i/>
                <w:color w:val="000000"/>
                <w:sz w:val="20"/>
                <w:szCs w:val="20"/>
              </w:rPr>
              <w:t>Nationaler Aktionsplan Behinderung</w:t>
            </w:r>
            <w:r w:rsidRPr="00EA6830">
              <w:rPr>
                <w:rFonts w:ascii="Verdana" w:hAnsi="Verdana" w:cstheme="minorHAnsi"/>
                <w:color w:val="000000"/>
                <w:sz w:val="20"/>
                <w:szCs w:val="20"/>
              </w:rPr>
              <w:t>)</w:t>
            </w:r>
            <w:r w:rsidRPr="00EA6830">
              <w:rPr>
                <w:rStyle w:val="FootnoteReference"/>
                <w:rFonts w:ascii="Verdana" w:hAnsi="Verdana" w:cstheme="minorHAnsi"/>
                <w:color w:val="000000"/>
                <w:sz w:val="20"/>
                <w:szCs w:val="20"/>
              </w:rPr>
              <w:footnoteReference w:id="29"/>
            </w:r>
            <w:r w:rsidRPr="00EA6830">
              <w:rPr>
                <w:rFonts w:ascii="Verdana" w:hAnsi="Verdana"/>
                <w:sz w:val="20"/>
                <w:szCs w:val="20"/>
              </w:rPr>
              <w:t xml:space="preserve"> states:</w:t>
            </w:r>
            <w:r w:rsidRPr="00EA6830">
              <w:rPr>
                <w:rFonts w:ascii="Verdana" w:hAnsi="Verdana" w:cstheme="minorHAnsi"/>
                <w:color w:val="000000"/>
                <w:sz w:val="20"/>
                <w:szCs w:val="20"/>
              </w:rPr>
              <w:t xml:space="preserve"> “Providing information about </w:t>
            </w:r>
            <w:r w:rsidRPr="00EA6830">
              <w:rPr>
                <w:rFonts w:ascii="Verdana" w:hAnsi="Verdana" w:cstheme="minorHAnsi"/>
                <w:bCs/>
                <w:color w:val="000000"/>
                <w:sz w:val="20"/>
                <w:szCs w:val="20"/>
              </w:rPr>
              <w:t>participation in elections</w:t>
            </w:r>
            <w:r w:rsidRPr="00EA6830">
              <w:rPr>
                <w:rFonts w:ascii="Verdana" w:hAnsi="Verdana" w:cstheme="minorHAnsi"/>
                <w:b/>
                <w:bCs/>
                <w:color w:val="000000"/>
                <w:sz w:val="20"/>
                <w:szCs w:val="20"/>
              </w:rPr>
              <w:t xml:space="preserve"> </w:t>
            </w:r>
            <w:r w:rsidRPr="00EA6830">
              <w:rPr>
                <w:rFonts w:ascii="Verdana" w:hAnsi="Verdana" w:cstheme="minorHAnsi"/>
                <w:color w:val="000000"/>
                <w:sz w:val="20"/>
                <w:szCs w:val="20"/>
              </w:rPr>
              <w:t>in accessible and (as far as possible) understandable form, in printed and electronic versions”.</w:t>
            </w:r>
          </w:p>
        </w:tc>
      </w:tr>
      <w:tr w:rsidR="004F70B0" w:rsidRPr="00EA6830" w14:paraId="7F6EA307" w14:textId="77777777" w:rsidTr="004F70B0">
        <w:trPr>
          <w:trHeight w:val="454"/>
        </w:trPr>
        <w:tc>
          <w:tcPr>
            <w:tcW w:w="1881" w:type="pct"/>
            <w:vAlign w:val="center"/>
          </w:tcPr>
          <w:p w14:paraId="7F6EA301" w14:textId="77777777" w:rsidR="004F70B0" w:rsidRPr="00EA6830" w:rsidRDefault="004F70B0" w:rsidP="00C65DB4">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Are all persons with disabilities, including those who have been deprived of their legal capacity, able to access redress and complaint mechanisms in cases where they have not been able to exercise the right to vote?</w:t>
            </w:r>
          </w:p>
        </w:tc>
        <w:tc>
          <w:tcPr>
            <w:tcW w:w="3119" w:type="pct"/>
            <w:vAlign w:val="center"/>
          </w:tcPr>
          <w:p w14:paraId="7F6EA304" w14:textId="29EF4B8F" w:rsidR="004F70B0" w:rsidRPr="00EA6830" w:rsidRDefault="004F70B0" w:rsidP="000009A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In Austria persons who have been deprived of their legal capacity nevertheless have the right to vote (Art. 26 of the Austrian Constitutional Law, B-VG</w:t>
            </w:r>
            <w:r w:rsidRPr="00EA6830">
              <w:rPr>
                <w:rStyle w:val="FootnoteReference"/>
                <w:rFonts w:ascii="Verdana" w:eastAsia="Calibri" w:hAnsi="Verdana" w:cs="Times New Roman"/>
                <w:sz w:val="20"/>
                <w:szCs w:val="20"/>
                <w:lang w:val="en-GB"/>
              </w:rPr>
              <w:t xml:space="preserve"> </w:t>
            </w:r>
            <w:r w:rsidRPr="00EA6830">
              <w:rPr>
                <w:rStyle w:val="FootnoteReference"/>
                <w:rFonts w:ascii="Verdana" w:eastAsia="Calibri" w:hAnsi="Verdana" w:cs="Times New Roman"/>
                <w:sz w:val="20"/>
                <w:szCs w:val="20"/>
                <w:lang w:val="en-GB"/>
              </w:rPr>
              <w:footnoteReference w:id="30"/>
            </w:r>
            <w:r w:rsidRPr="00EA6830">
              <w:rPr>
                <w:rFonts w:ascii="Verdana" w:eastAsia="Calibri" w:hAnsi="Verdana" w:cs="Times New Roman"/>
                <w:sz w:val="20"/>
                <w:szCs w:val="20"/>
                <w:lang w:val="en-GB"/>
              </w:rPr>
              <w:t>). It is not explicitly mentioned in the constitution, the constitution states that every person above the age of 16 and holding Austrian citizenship is entitled to vote. Exclusion from the right to vote can only be based on a final criminal conviction according to Art. 26 (5) of the Constitution.</w:t>
            </w:r>
          </w:p>
          <w:p w14:paraId="7F6EA306" w14:textId="628A94BA" w:rsidR="004F70B0" w:rsidRPr="00D22A9A" w:rsidRDefault="004F70B0" w:rsidP="00AF0891">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 xml:space="preserve">According to § 28(1) of the Elections to the Parliament Act and §16(1) Election to the European Parliament Act every (EU-) citizen has the right to complain </w:t>
            </w:r>
            <w:r w:rsidRPr="00EA6830">
              <w:rPr>
                <w:rFonts w:ascii="Verdana" w:eastAsia="Calibri" w:hAnsi="Verdana" w:cs="Times New Roman"/>
                <w:sz w:val="20"/>
                <w:szCs w:val="20"/>
                <w:lang w:val="en-GB"/>
              </w:rPr>
              <w:lastRenderedPageBreak/>
              <w:t>against the electoral register. The same applies to all the Municipal Election Acts</w:t>
            </w:r>
            <w:r w:rsidRPr="00EA6830">
              <w:rPr>
                <w:rStyle w:val="FootnoteReference"/>
                <w:rFonts w:ascii="Verdana" w:eastAsia="Calibri" w:hAnsi="Verdana" w:cs="Times New Roman"/>
                <w:sz w:val="20"/>
                <w:szCs w:val="20"/>
                <w:lang w:val="en-GB"/>
              </w:rPr>
              <w:footnoteReference w:id="31"/>
            </w:r>
            <w:r w:rsidRPr="00EA6830">
              <w:rPr>
                <w:rFonts w:ascii="Verdana" w:eastAsia="Calibri" w:hAnsi="Verdana" w:cs="Times New Roman"/>
                <w:sz w:val="20"/>
                <w:szCs w:val="20"/>
                <w:lang w:val="en-GB"/>
              </w:rPr>
              <w:t>. There is no scope for complaint foreseen in the provisions if for example, reasonable accommodations are not made.</w:t>
            </w:r>
          </w:p>
        </w:tc>
      </w:tr>
    </w:tbl>
    <w:p w14:paraId="7F6EA30F" w14:textId="4408FDBC" w:rsidR="00CA210D" w:rsidRDefault="00CA210D" w:rsidP="00912C69">
      <w:pPr>
        <w:spacing w:line="240" w:lineRule="auto"/>
        <w:ind w:left="567"/>
        <w:contextualSpacing/>
        <w:jc w:val="both"/>
        <w:rPr>
          <w:rFonts w:ascii="Verdana" w:eastAsia="Calibri" w:hAnsi="Verdana" w:cs="Times New Roman"/>
          <w:b/>
          <w:sz w:val="20"/>
          <w:szCs w:val="20"/>
          <w:lang w:val="en-US"/>
        </w:rPr>
      </w:pPr>
    </w:p>
    <w:p w14:paraId="27FAF6C8" w14:textId="77777777" w:rsidR="00CA210D" w:rsidRDefault="00CA210D">
      <w:pPr>
        <w:rPr>
          <w:rFonts w:ascii="Verdana" w:eastAsia="Calibri" w:hAnsi="Verdana" w:cs="Times New Roman"/>
          <w:b/>
          <w:sz w:val="20"/>
          <w:szCs w:val="20"/>
          <w:lang w:val="en-US"/>
        </w:rPr>
      </w:pPr>
      <w:r>
        <w:rPr>
          <w:rFonts w:ascii="Verdana" w:eastAsia="Calibri" w:hAnsi="Verdana" w:cs="Times New Roman"/>
          <w:b/>
          <w:sz w:val="20"/>
          <w:szCs w:val="20"/>
          <w:lang w:val="en-US"/>
        </w:rPr>
        <w:br w:type="page"/>
      </w:r>
    </w:p>
    <w:p w14:paraId="2B21A022" w14:textId="77777777" w:rsidR="00EF253E" w:rsidRPr="00EA6830" w:rsidRDefault="00EF253E" w:rsidP="00912C69">
      <w:pPr>
        <w:spacing w:line="240" w:lineRule="auto"/>
        <w:ind w:left="567"/>
        <w:contextualSpacing/>
        <w:jc w:val="both"/>
        <w:rPr>
          <w:rFonts w:ascii="Verdana" w:eastAsia="Calibri" w:hAnsi="Verdana" w:cs="Times New Roman"/>
          <w:b/>
          <w:sz w:val="20"/>
          <w:szCs w:val="20"/>
          <w:lang w:val="en-US"/>
        </w:rPr>
      </w:pPr>
    </w:p>
    <w:p w14:paraId="0EA6B5B3" w14:textId="77777777" w:rsidR="00B84238" w:rsidRDefault="00B84238" w:rsidP="00B84238">
      <w:pPr>
        <w:spacing w:after="0" w:line="240" w:lineRule="auto"/>
        <w:ind w:left="1080"/>
        <w:contextualSpacing/>
        <w:jc w:val="both"/>
        <w:rPr>
          <w:rFonts w:ascii="Verdana" w:eastAsia="Calibri" w:hAnsi="Verdana" w:cs="Times New Roman"/>
          <w:b/>
          <w:sz w:val="24"/>
          <w:szCs w:val="24"/>
          <w:lang w:val="en-GB"/>
        </w:rPr>
      </w:pPr>
    </w:p>
    <w:p w14:paraId="7F6EA310" w14:textId="77777777" w:rsidR="00912C69" w:rsidRPr="00933DB5" w:rsidRDefault="005F45ED" w:rsidP="00933DB5">
      <w:pPr>
        <w:numPr>
          <w:ilvl w:val="0"/>
          <w:numId w:val="16"/>
        </w:numPr>
        <w:spacing w:after="0" w:line="240" w:lineRule="auto"/>
        <w:contextualSpacing/>
        <w:jc w:val="both"/>
        <w:rPr>
          <w:rFonts w:ascii="Verdana" w:eastAsia="Calibri" w:hAnsi="Verdana" w:cs="Times New Roman"/>
          <w:b/>
          <w:sz w:val="24"/>
          <w:szCs w:val="24"/>
          <w:lang w:val="en-GB"/>
        </w:rPr>
      </w:pPr>
      <w:r w:rsidRPr="00933DB5">
        <w:rPr>
          <w:rFonts w:ascii="Verdana" w:eastAsia="Calibri" w:hAnsi="Verdana" w:cs="Times New Roman"/>
          <w:b/>
          <w:sz w:val="24"/>
          <w:szCs w:val="24"/>
          <w:lang w:val="en-GB"/>
        </w:rPr>
        <w:t>PROCESS INDICATORS</w:t>
      </w:r>
    </w:p>
    <w:p w14:paraId="62237DAA" w14:textId="77777777" w:rsidR="00933DB5" w:rsidRPr="00933DB5" w:rsidRDefault="00933DB5" w:rsidP="00933DB5">
      <w:pPr>
        <w:spacing w:after="0" w:line="240" w:lineRule="auto"/>
        <w:ind w:left="567"/>
        <w:contextualSpacing/>
        <w:jc w:val="both"/>
        <w:rPr>
          <w:rFonts w:ascii="Verdana" w:eastAsia="Calibri" w:hAnsi="Verdana" w:cs="Times New Roman"/>
          <w:b/>
          <w:sz w:val="24"/>
          <w:szCs w:val="24"/>
          <w:lang w:val="en-GB"/>
        </w:rPr>
      </w:pPr>
    </w:p>
    <w:tbl>
      <w:tblPr>
        <w:tblStyle w:val="TableGrid"/>
        <w:tblW w:w="4754" w:type="pct"/>
        <w:tblLook w:val="04A0" w:firstRow="1" w:lastRow="0" w:firstColumn="1" w:lastColumn="0" w:noHBand="0" w:noVBand="1"/>
      </w:tblPr>
      <w:tblGrid>
        <w:gridCol w:w="5132"/>
        <w:gridCol w:w="8345"/>
      </w:tblGrid>
      <w:tr w:rsidR="004F70B0" w:rsidRPr="00EA6830" w14:paraId="7F6EA317" w14:textId="77777777" w:rsidTr="004F70B0">
        <w:trPr>
          <w:trHeight w:val="454"/>
        </w:trPr>
        <w:tc>
          <w:tcPr>
            <w:tcW w:w="1904" w:type="pct"/>
            <w:shd w:val="clear" w:color="auto" w:fill="C6D9F1" w:themeFill="text2" w:themeFillTint="33"/>
            <w:vAlign w:val="center"/>
          </w:tcPr>
          <w:p w14:paraId="7F6EA313" w14:textId="77777777" w:rsidR="004F70B0" w:rsidRPr="00EA6830" w:rsidRDefault="004F70B0" w:rsidP="0081459C">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Process indicators</w:t>
            </w:r>
          </w:p>
        </w:tc>
        <w:tc>
          <w:tcPr>
            <w:tcW w:w="3096" w:type="pct"/>
            <w:shd w:val="clear" w:color="auto" w:fill="C6D9F1" w:themeFill="text2" w:themeFillTint="33"/>
            <w:vAlign w:val="center"/>
          </w:tcPr>
          <w:p w14:paraId="7F6EA316" w14:textId="77777777" w:rsidR="004F70B0" w:rsidRPr="00EA6830" w:rsidRDefault="004F70B0" w:rsidP="0081459C">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Source and supporting information</w:t>
            </w:r>
          </w:p>
        </w:tc>
      </w:tr>
      <w:tr w:rsidR="004F70B0" w:rsidRPr="00EA6830" w14:paraId="45534836" w14:textId="77777777" w:rsidTr="004F70B0">
        <w:trPr>
          <w:trHeight w:val="454"/>
        </w:trPr>
        <w:tc>
          <w:tcPr>
            <w:tcW w:w="1904" w:type="pct"/>
            <w:shd w:val="clear" w:color="auto" w:fill="auto"/>
            <w:vAlign w:val="center"/>
          </w:tcPr>
          <w:p w14:paraId="4AA9BF23" w14:textId="171E8728" w:rsidR="004F70B0" w:rsidRPr="00EA6830" w:rsidRDefault="004F70B0" w:rsidP="00346931">
            <w:pPr>
              <w:spacing w:before="240"/>
              <w:contextualSpacing/>
              <w:rPr>
                <w:rFonts w:ascii="Verdana" w:eastAsia="Calibri" w:hAnsi="Verdana" w:cs="Times New Roman"/>
                <w:sz w:val="20"/>
                <w:szCs w:val="20"/>
                <w:lang w:val="en-GB"/>
              </w:rPr>
            </w:pPr>
            <w:r w:rsidRPr="00EA6830">
              <w:rPr>
                <w:rFonts w:ascii="Verdana" w:hAnsi="Verdana"/>
                <w:sz w:val="20"/>
                <w:szCs w:val="20"/>
              </w:rPr>
              <w:t>Are there measures by election authorities in place to facilitate persons with disabilities who live in institutions, whether short- or long-term, and those who are home-bound, to register to vote and to vote? (e.g. voting at institutions, voting in advance, voting by mail, mobile voting)</w:t>
            </w:r>
          </w:p>
        </w:tc>
        <w:tc>
          <w:tcPr>
            <w:tcW w:w="3096" w:type="pct"/>
            <w:shd w:val="clear" w:color="auto" w:fill="auto"/>
            <w:vAlign w:val="center"/>
          </w:tcPr>
          <w:p w14:paraId="17F5A1F7" w14:textId="1DDB48E5" w:rsidR="004F70B0" w:rsidRPr="00933DB5" w:rsidRDefault="004F70B0" w:rsidP="00933DB5">
            <w:pPr>
              <w:pStyle w:val="SingleTxtG"/>
              <w:tabs>
                <w:tab w:val="left" w:pos="9072"/>
              </w:tabs>
              <w:ind w:left="0" w:right="-22"/>
              <w:rPr>
                <w:rFonts w:ascii="Verdana" w:hAnsi="Verdana" w:cstheme="minorHAnsi"/>
              </w:rPr>
            </w:pPr>
            <w:r w:rsidRPr="00EA6830">
              <w:rPr>
                <w:rFonts w:ascii="Verdana" w:hAnsi="Verdana" w:cstheme="minorHAnsi"/>
              </w:rPr>
              <w:t xml:space="preserve">Voters who cannot walk or be driven in vehicles and thus cannot reach a polling station, have the possibility to be visited by a “flying election commission” to cast their vote. In larger medical institutions and nursing homes, separate polling stations are established. Since 2007 there has also been the option of </w:t>
            </w:r>
            <w:r w:rsidRPr="00EA6830">
              <w:rPr>
                <w:rFonts w:ascii="Verdana" w:hAnsi="Verdana" w:cs="Times-Roman"/>
              </w:rPr>
              <w:t xml:space="preserve">requesting a </w:t>
            </w:r>
            <w:r w:rsidRPr="00EA6830">
              <w:rPr>
                <w:rFonts w:ascii="Verdana" w:hAnsi="Verdana" w:cstheme="minorHAnsi"/>
              </w:rPr>
              <w:t>voting card. The Electoral Rights Amendment Act 2010 created the opportunity for people with disabilities to have a voting card sent to them automatically before every election.</w:t>
            </w:r>
            <w:r w:rsidRPr="00EA6830">
              <w:rPr>
                <w:rStyle w:val="FootnoteReference"/>
                <w:rFonts w:ascii="Verdana" w:hAnsi="Verdana" w:cstheme="minorHAnsi"/>
              </w:rPr>
              <w:footnoteReference w:id="32"/>
            </w:r>
          </w:p>
        </w:tc>
      </w:tr>
      <w:tr w:rsidR="004F70B0" w:rsidRPr="00EA6830" w14:paraId="7F6EA321" w14:textId="77777777" w:rsidTr="004F70B0">
        <w:trPr>
          <w:trHeight w:val="454"/>
        </w:trPr>
        <w:tc>
          <w:tcPr>
            <w:tcW w:w="1904" w:type="pct"/>
            <w:shd w:val="clear" w:color="auto" w:fill="auto"/>
            <w:vAlign w:val="center"/>
          </w:tcPr>
          <w:p w14:paraId="7F6EA319" w14:textId="77777777" w:rsidR="004F70B0" w:rsidRPr="00EA6830" w:rsidRDefault="004F70B0" w:rsidP="00346931">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3096" w:type="pct"/>
          </w:tcPr>
          <w:p w14:paraId="247021C2" w14:textId="1AA9D412" w:rsidR="004F70B0" w:rsidRPr="00EA6830" w:rsidRDefault="004F70B0" w:rsidP="008A2235">
            <w:pPr>
              <w:spacing w:before="240"/>
              <w:contextualSpacing/>
              <w:rPr>
                <w:rStyle w:val="gldsymbol"/>
                <w:rFonts w:ascii="Verdana" w:hAnsi="Verdana"/>
                <w:b w:val="0"/>
                <w:sz w:val="20"/>
                <w:szCs w:val="20"/>
                <w:lang w:val="de-DE"/>
              </w:rPr>
            </w:pPr>
            <w:r w:rsidRPr="00EA6830">
              <w:rPr>
                <w:rFonts w:ascii="Verdana" w:hAnsi="Verdana"/>
                <w:sz w:val="20"/>
                <w:szCs w:val="20"/>
              </w:rPr>
              <w:t>The Federal Disability Act (</w:t>
            </w:r>
            <w:r w:rsidRPr="00EA6830">
              <w:rPr>
                <w:rFonts w:ascii="Verdana" w:hAnsi="Verdana"/>
                <w:i/>
                <w:sz w:val="20"/>
                <w:szCs w:val="20"/>
              </w:rPr>
              <w:t>BundesbehindertenG</w:t>
            </w:r>
            <w:r w:rsidRPr="00EA6830">
              <w:rPr>
                <w:rFonts w:ascii="Verdana" w:hAnsi="Verdana"/>
                <w:sz w:val="20"/>
                <w:szCs w:val="20"/>
              </w:rPr>
              <w:t xml:space="preserve">) in </w:t>
            </w:r>
            <w:r w:rsidRPr="00EA6830">
              <w:rPr>
                <w:rStyle w:val="gldsymbol"/>
                <w:rFonts w:ascii="Verdana" w:hAnsi="Verdana"/>
                <w:b w:val="0"/>
                <w:sz w:val="20"/>
                <w:szCs w:val="20"/>
                <w:lang w:val="de-DE"/>
              </w:rPr>
              <w:t xml:space="preserve">§ 8 lays down the installation of a </w:t>
            </w:r>
            <w:r w:rsidRPr="00EA6830">
              <w:rPr>
                <w:rStyle w:val="gldsymbol"/>
                <w:rFonts w:ascii="Verdana" w:hAnsi="Verdana"/>
                <w:b w:val="0"/>
                <w:i/>
                <w:sz w:val="20"/>
                <w:szCs w:val="20"/>
                <w:lang w:val="de-DE"/>
              </w:rPr>
              <w:t>Federal Disability Advisory Board</w:t>
            </w:r>
            <w:r w:rsidRPr="00EA6830">
              <w:rPr>
                <w:rStyle w:val="gldsymbol"/>
                <w:rFonts w:ascii="Verdana" w:hAnsi="Verdana"/>
                <w:b w:val="0"/>
                <w:sz w:val="20"/>
                <w:szCs w:val="20"/>
                <w:lang w:val="de-DE"/>
              </w:rPr>
              <w:t xml:space="preserve"> as a consultative body, which has an advisory function in all disability-related law- and policy-making. The Board comprises seven representatives of non-governmental organisations representing persons with disabilities and the Disability Ombudsman and has to be consulted by the Federal Minister of Labour, Social</w:t>
            </w:r>
          </w:p>
          <w:p w14:paraId="549D53BB" w14:textId="0321909D" w:rsidR="004F70B0" w:rsidRDefault="004F70B0" w:rsidP="008A2235">
            <w:pPr>
              <w:spacing w:before="240"/>
              <w:contextualSpacing/>
              <w:rPr>
                <w:rStyle w:val="gldsymbol"/>
                <w:rFonts w:ascii="Verdana" w:hAnsi="Verdana"/>
                <w:b w:val="0"/>
                <w:sz w:val="20"/>
                <w:szCs w:val="20"/>
                <w:lang w:val="de-DE"/>
              </w:rPr>
            </w:pPr>
            <w:r w:rsidRPr="00EA6830">
              <w:rPr>
                <w:rStyle w:val="gldsymbol"/>
                <w:rFonts w:ascii="Verdana" w:hAnsi="Verdana"/>
                <w:b w:val="0"/>
                <w:sz w:val="20"/>
                <w:szCs w:val="20"/>
                <w:lang w:val="de-DE"/>
              </w:rPr>
              <w:t>Affairs and Consumer Protection on</w:t>
            </w:r>
            <w:r w:rsidRPr="00EA6830">
              <w:rPr>
                <w:rFonts w:ascii="Verdana" w:hAnsi="Verdana"/>
                <w:sz w:val="20"/>
                <w:szCs w:val="20"/>
              </w:rPr>
              <w:t xml:space="preserve"> </w:t>
            </w:r>
            <w:r w:rsidRPr="00EA6830">
              <w:rPr>
                <w:rStyle w:val="gldsymbol"/>
                <w:rFonts w:ascii="Verdana" w:hAnsi="Verdana"/>
                <w:b w:val="0"/>
                <w:sz w:val="20"/>
                <w:szCs w:val="20"/>
                <w:lang w:val="de-DE"/>
              </w:rPr>
              <w:t>fundamental matters concerning disability.</w:t>
            </w:r>
          </w:p>
          <w:p w14:paraId="39B57C20" w14:textId="77777777" w:rsidR="004F70B0" w:rsidRPr="00EA6830" w:rsidRDefault="004F70B0" w:rsidP="008A2235">
            <w:pPr>
              <w:spacing w:before="240"/>
              <w:contextualSpacing/>
              <w:rPr>
                <w:rStyle w:val="gldsymbol"/>
                <w:rFonts w:ascii="Verdana" w:hAnsi="Verdana"/>
                <w:b w:val="0"/>
                <w:sz w:val="20"/>
                <w:szCs w:val="20"/>
                <w:lang w:val="de-DE"/>
              </w:rPr>
            </w:pPr>
          </w:p>
          <w:p w14:paraId="73A05FD6" w14:textId="625D02AF" w:rsidR="004F70B0" w:rsidRPr="00EA6830" w:rsidRDefault="004F70B0" w:rsidP="00EA04F8">
            <w:pPr>
              <w:spacing w:before="240"/>
              <w:contextualSpacing/>
              <w:rPr>
                <w:rStyle w:val="gldsymbol"/>
                <w:rFonts w:ascii="Verdana" w:hAnsi="Verdana"/>
                <w:b w:val="0"/>
                <w:sz w:val="20"/>
                <w:szCs w:val="20"/>
                <w:lang w:val="de-DE"/>
              </w:rPr>
            </w:pPr>
            <w:r w:rsidRPr="00EA6830">
              <w:rPr>
                <w:rStyle w:val="gldsymbol"/>
                <w:rFonts w:ascii="Verdana" w:hAnsi="Verdana"/>
                <w:b w:val="0"/>
                <w:sz w:val="20"/>
                <w:szCs w:val="20"/>
                <w:lang w:val="de-DE"/>
              </w:rPr>
              <w:t>An amendment of the Federal Disability Act which would enlarge the body by one representative was proposed by the Federal Ministry of Labour, Social Affairs and Consumer Protection (BMASK) in April 2014</w:t>
            </w:r>
            <w:r w:rsidRPr="00EA6830">
              <w:rPr>
                <w:rStyle w:val="FootnoteReference"/>
                <w:rFonts w:ascii="Verdana" w:hAnsi="Verdana"/>
                <w:bCs/>
                <w:sz w:val="20"/>
                <w:szCs w:val="20"/>
                <w:lang w:val="de-DE"/>
              </w:rPr>
              <w:footnoteReference w:id="33"/>
            </w:r>
            <w:r w:rsidRPr="00EA6830">
              <w:rPr>
                <w:rStyle w:val="gldsymbol"/>
                <w:rFonts w:ascii="Verdana" w:hAnsi="Verdana"/>
                <w:b w:val="0"/>
                <w:sz w:val="20"/>
                <w:szCs w:val="20"/>
                <w:lang w:val="de-DE"/>
              </w:rPr>
              <w:t>. The admission of self-</w:t>
            </w:r>
            <w:r w:rsidRPr="00EA6830">
              <w:rPr>
                <w:rStyle w:val="gldsymbol"/>
                <w:rFonts w:ascii="Verdana" w:hAnsi="Verdana"/>
                <w:b w:val="0"/>
                <w:sz w:val="20"/>
                <w:szCs w:val="20"/>
                <w:lang w:val="de-DE"/>
              </w:rPr>
              <w:lastRenderedPageBreak/>
              <w:t>advocates with a learning disability in the Federal Disability Board was  foreseen as a measure in the National Action Plan on Disability</w:t>
            </w:r>
            <w:r w:rsidRPr="00EA6830">
              <w:rPr>
                <w:rStyle w:val="FootnoteReference"/>
                <w:rFonts w:ascii="Verdana" w:hAnsi="Verdana"/>
                <w:bCs/>
                <w:sz w:val="20"/>
                <w:szCs w:val="20"/>
                <w:lang w:val="de-DE"/>
              </w:rPr>
              <w:footnoteReference w:id="34"/>
            </w:r>
            <w:r w:rsidRPr="00EA6830">
              <w:rPr>
                <w:rStyle w:val="gldsymbol"/>
                <w:rFonts w:ascii="Verdana" w:hAnsi="Verdana"/>
                <w:b w:val="0"/>
                <w:sz w:val="20"/>
                <w:szCs w:val="20"/>
                <w:lang w:val="de-DE"/>
              </w:rPr>
              <w:t>.</w:t>
            </w:r>
          </w:p>
          <w:p w14:paraId="4D05938D" w14:textId="77777777" w:rsidR="004F70B0" w:rsidRPr="00EA6830" w:rsidRDefault="004F70B0" w:rsidP="00EA04F8">
            <w:pPr>
              <w:spacing w:before="240"/>
              <w:contextualSpacing/>
              <w:rPr>
                <w:rFonts w:ascii="Verdana" w:eastAsia="Calibri" w:hAnsi="Verdana" w:cs="Times New Roman"/>
                <w:sz w:val="20"/>
                <w:szCs w:val="20"/>
              </w:rPr>
            </w:pPr>
          </w:p>
          <w:p w14:paraId="77A1EC73" w14:textId="361EB4D4"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§13 of the Federal Disability Act</w:t>
            </w:r>
            <w:r w:rsidRPr="00EA6830">
              <w:rPr>
                <w:rStyle w:val="FootnoteReference"/>
                <w:rFonts w:ascii="Verdana" w:eastAsia="Calibri" w:hAnsi="Verdana" w:cs="Times New Roman"/>
                <w:sz w:val="20"/>
                <w:szCs w:val="20"/>
              </w:rPr>
              <w:footnoteReference w:id="35"/>
            </w:r>
            <w:r w:rsidRPr="00EA6830">
              <w:rPr>
                <w:rFonts w:ascii="Verdana" w:eastAsia="Calibri" w:hAnsi="Verdana" w:cs="Times New Roman"/>
                <w:sz w:val="20"/>
                <w:szCs w:val="20"/>
              </w:rPr>
              <w:t xml:space="preserve"> regulates the installation of a monitoring committee (</w:t>
            </w:r>
            <w:r w:rsidRPr="00EA6830">
              <w:rPr>
                <w:rFonts w:ascii="Verdana" w:eastAsia="Calibri" w:hAnsi="Verdana" w:cs="Times New Roman"/>
                <w:i/>
                <w:sz w:val="20"/>
                <w:szCs w:val="20"/>
              </w:rPr>
              <w:t>Monitoringausschuss)</w:t>
            </w:r>
            <w:r w:rsidRPr="00EA6830">
              <w:rPr>
                <w:rFonts w:ascii="Verdana" w:eastAsia="Calibri" w:hAnsi="Verdana" w:cs="Times New Roman"/>
                <w:sz w:val="20"/>
                <w:szCs w:val="20"/>
              </w:rPr>
              <w:t>. According to § 13(2) the Committee might make comments to the Federal Disability Advisory Board (</w:t>
            </w:r>
            <w:r w:rsidRPr="00EA6830">
              <w:rPr>
                <w:rFonts w:ascii="Verdana" w:eastAsia="Calibri" w:hAnsi="Verdana" w:cs="Times New Roman"/>
                <w:i/>
                <w:sz w:val="20"/>
                <w:szCs w:val="20"/>
              </w:rPr>
              <w:t>Bundesbehindertenbeirat)</w:t>
            </w:r>
            <w:r w:rsidRPr="00EA6830">
              <w:rPr>
                <w:rFonts w:ascii="Verdana" w:eastAsia="Calibri" w:hAnsi="Verdana" w:cs="Times New Roman"/>
                <w:sz w:val="20"/>
                <w:szCs w:val="20"/>
              </w:rPr>
              <w:t xml:space="preserve"> regarding topics dealing with implementation of the CRPD. Direct consultation of the Committee when drafting new laws is not foreseen. </w:t>
            </w:r>
          </w:p>
          <w:p w14:paraId="7DA4BD11" w14:textId="77777777" w:rsidR="004F70B0" w:rsidRPr="00EA6830" w:rsidRDefault="004F70B0" w:rsidP="00EA04F8">
            <w:pPr>
              <w:spacing w:before="240"/>
              <w:contextualSpacing/>
              <w:rPr>
                <w:rFonts w:ascii="Verdana" w:eastAsia="Calibri" w:hAnsi="Verdana" w:cs="Times New Roman"/>
                <w:sz w:val="20"/>
                <w:szCs w:val="20"/>
              </w:rPr>
            </w:pPr>
          </w:p>
          <w:p w14:paraId="620A1D48" w14:textId="04A0CB29"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 xml:space="preserve">The Committee is in charge of monitoring the implementation of the CRPD in the Austrian legislation. The committee gets selected by the Federal Minister of Labour, Social Affairs and Consumer Protection with regard of recommendations by the Austrian National Council of Disabled Persons (ÖAR) which is an umbrella organisation of DPOs. According to §13(1) of the Federal Disability Act </w:t>
            </w:r>
            <w:r w:rsidRPr="00EA6830">
              <w:rPr>
                <w:rStyle w:val="FootnoteReference"/>
                <w:rFonts w:ascii="Verdana" w:eastAsia="Calibri" w:hAnsi="Verdana" w:cs="Times New Roman"/>
                <w:sz w:val="20"/>
                <w:szCs w:val="20"/>
                <w:lang w:val="de-AT"/>
              </w:rPr>
              <w:footnoteReference w:id="36"/>
            </w:r>
            <w:r w:rsidRPr="00EA6830">
              <w:rPr>
                <w:rFonts w:ascii="Verdana" w:eastAsia="Calibri" w:hAnsi="Verdana" w:cs="Times New Roman"/>
                <w:sz w:val="20"/>
                <w:szCs w:val="20"/>
              </w:rPr>
              <w:t xml:space="preserve"> the monitoring committee must include four representatives of DPOs, one representative of an approved non-profit NGO active in the human rights area, one representative of an approved non-profit NGO active in the area development cooperation and one scientific expert. </w:t>
            </w:r>
          </w:p>
          <w:p w14:paraId="6C3429E3" w14:textId="566AAFAA"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 xml:space="preserve">An important element in drawing up the action plan was the involvement of the organizations of persons with disabilities and civil society. </w:t>
            </w:r>
          </w:p>
          <w:p w14:paraId="2837D3CA" w14:textId="55E1F595"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 xml:space="preserve">The supervision of the NAP is carried out by a supervisory group which involves the Disability Ombudsman and the Monitoring Committee on the </w:t>
            </w:r>
            <w:r w:rsidRPr="00EA6830">
              <w:rPr>
                <w:rFonts w:ascii="Verdana" w:eastAsia="Calibri" w:hAnsi="Verdana" w:cs="Times New Roman"/>
                <w:sz w:val="20"/>
                <w:szCs w:val="20"/>
              </w:rPr>
              <w:lastRenderedPageBreak/>
              <w:t>implementation of the CRPD in Austria as well as the representatives of people with disabilities and civil society.</w:t>
            </w:r>
            <w:r w:rsidRPr="00EA6830">
              <w:rPr>
                <w:rStyle w:val="FootnoteReference"/>
                <w:rFonts w:ascii="Verdana" w:eastAsia="Calibri" w:hAnsi="Verdana" w:cs="Times New Roman"/>
                <w:sz w:val="20"/>
                <w:szCs w:val="20"/>
              </w:rPr>
              <w:footnoteReference w:id="37"/>
            </w:r>
            <w:r w:rsidRPr="00EA6830">
              <w:rPr>
                <w:rFonts w:ascii="Verdana" w:eastAsia="Calibri" w:hAnsi="Verdana" w:cs="Times New Roman"/>
                <w:sz w:val="20"/>
                <w:szCs w:val="20"/>
              </w:rPr>
              <w:t xml:space="preserve"> </w:t>
            </w:r>
          </w:p>
          <w:p w14:paraId="00C4BCA3" w14:textId="77777777"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On 31 July 2013 the Monitoring Committee issued a statement on barrier free elections.</w:t>
            </w:r>
            <w:r w:rsidRPr="00EA6830">
              <w:rPr>
                <w:rStyle w:val="FootnoteReference"/>
                <w:rFonts w:ascii="Verdana" w:eastAsia="Calibri" w:hAnsi="Verdana" w:cs="Times New Roman"/>
                <w:sz w:val="20"/>
                <w:szCs w:val="20"/>
              </w:rPr>
              <w:footnoteReference w:id="38"/>
            </w:r>
          </w:p>
          <w:p w14:paraId="7F6EA320" w14:textId="431043E9" w:rsidR="004F70B0" w:rsidRPr="00EA6830" w:rsidRDefault="004F70B0" w:rsidP="00016659">
            <w:pPr>
              <w:spacing w:before="240"/>
              <w:contextualSpacing/>
              <w:rPr>
                <w:rFonts w:ascii="Verdana" w:eastAsia="Calibri" w:hAnsi="Verdana" w:cs="Times New Roman"/>
                <w:sz w:val="20"/>
                <w:szCs w:val="20"/>
              </w:rPr>
            </w:pPr>
          </w:p>
        </w:tc>
      </w:tr>
      <w:tr w:rsidR="004F70B0" w:rsidRPr="00EA6830" w14:paraId="7F6EA330" w14:textId="77777777" w:rsidTr="004F70B0">
        <w:trPr>
          <w:trHeight w:val="454"/>
        </w:trPr>
        <w:tc>
          <w:tcPr>
            <w:tcW w:w="1904" w:type="pct"/>
            <w:shd w:val="clear" w:color="auto" w:fill="auto"/>
            <w:vAlign w:val="center"/>
          </w:tcPr>
          <w:p w14:paraId="5CA0B0DA" w14:textId="77777777" w:rsidR="004F70B0" w:rsidRPr="00EA6830" w:rsidRDefault="004F70B0" w:rsidP="00172153">
            <w:pPr>
              <w:rPr>
                <w:rFonts w:ascii="Verdana" w:hAnsi="Verdana"/>
                <w:sz w:val="20"/>
                <w:szCs w:val="20"/>
              </w:rPr>
            </w:pPr>
            <w:r w:rsidRPr="00EA6830">
              <w:rPr>
                <w:rFonts w:ascii="Verdana" w:hAnsi="Verdana"/>
                <w:sz w:val="20"/>
                <w:szCs w:val="20"/>
              </w:rPr>
              <w:lastRenderedPageBreak/>
              <w:t>Have national judicial redress mechanisms considered any cases related to the right to political participation of persons with disabilities?</w:t>
            </w:r>
          </w:p>
          <w:p w14:paraId="7F6EA32A" w14:textId="1BAD8AFE" w:rsidR="004F70B0" w:rsidRPr="00EA6830" w:rsidRDefault="004F70B0" w:rsidP="00172153">
            <w:pPr>
              <w:spacing w:before="240"/>
              <w:contextualSpacing/>
              <w:rPr>
                <w:rFonts w:ascii="Verdana" w:eastAsia="Calibri" w:hAnsi="Verdana" w:cs="Times New Roman"/>
                <w:sz w:val="20"/>
                <w:szCs w:val="20"/>
                <w:lang w:val="en-GB"/>
              </w:rPr>
            </w:pPr>
            <w:r w:rsidRPr="00EA6830">
              <w:rPr>
                <w:rFonts w:ascii="Verdana" w:hAnsi="Verdana"/>
                <w:sz w:val="20"/>
                <w:szCs w:val="20"/>
              </w:rPr>
              <w:t>Please give details of relevant case law and any available data on the number of such cases.</w:t>
            </w:r>
          </w:p>
        </w:tc>
        <w:tc>
          <w:tcPr>
            <w:tcW w:w="3096" w:type="pct"/>
          </w:tcPr>
          <w:p w14:paraId="4054FC98" w14:textId="0267AE19" w:rsidR="004F70B0" w:rsidRPr="00EA6830" w:rsidRDefault="004F70B0" w:rsidP="00EA04F8">
            <w:pPr>
              <w:spacing w:before="240"/>
              <w:contextualSpacing/>
              <w:rPr>
                <w:rFonts w:ascii="Verdana" w:eastAsia="Calibri" w:hAnsi="Verdana" w:cstheme="minorHAnsi"/>
                <w:sz w:val="20"/>
                <w:szCs w:val="20"/>
              </w:rPr>
            </w:pPr>
            <w:r w:rsidRPr="00EA6830">
              <w:rPr>
                <w:rFonts w:ascii="Verdana" w:eastAsia="Calibri" w:hAnsi="Verdana" w:cstheme="minorHAnsi"/>
                <w:sz w:val="20"/>
                <w:szCs w:val="20"/>
              </w:rPr>
              <w:t xml:space="preserve">There are no judicial decisions to be </w:t>
            </w:r>
            <w:r w:rsidRPr="00EA6830">
              <w:rPr>
                <w:rFonts w:ascii="Verdana" w:eastAsia="Calibri" w:hAnsi="Verdana" w:cstheme="minorHAnsi"/>
                <w:sz w:val="20"/>
                <w:szCs w:val="20"/>
                <w:lang w:val="en-GB"/>
              </w:rPr>
              <w:t>found in the</w:t>
            </w:r>
            <w:r w:rsidRPr="00EA6830">
              <w:rPr>
                <w:rFonts w:ascii="Verdana" w:eastAsia="Calibri" w:hAnsi="Verdana" w:cstheme="minorHAnsi"/>
                <w:sz w:val="20"/>
                <w:szCs w:val="20"/>
              </w:rPr>
              <w:t xml:space="preserve"> Austrian Legal Information System (</w:t>
            </w:r>
            <w:r w:rsidRPr="00EA6830">
              <w:rPr>
                <w:rFonts w:ascii="Verdana" w:eastAsia="Calibri" w:hAnsi="Verdana" w:cstheme="minorHAnsi"/>
                <w:i/>
                <w:sz w:val="20"/>
                <w:szCs w:val="20"/>
              </w:rPr>
              <w:t xml:space="preserve">Rechtsinformationssystem, RIS) </w:t>
            </w:r>
            <w:r w:rsidRPr="00EA6830">
              <w:rPr>
                <w:rFonts w:ascii="Verdana" w:eastAsia="Calibri" w:hAnsi="Verdana" w:cstheme="minorHAnsi"/>
                <w:sz w:val="20"/>
                <w:szCs w:val="20"/>
                <w:lang w:val="en-GB"/>
              </w:rPr>
              <w:t xml:space="preserve">dealing with the right to political participation of persons with disabilities. </w:t>
            </w:r>
            <w:r w:rsidRPr="00EA6830">
              <w:rPr>
                <w:rFonts w:ascii="Verdana" w:eastAsia="Calibri" w:hAnsi="Verdana" w:cstheme="minorHAnsi"/>
                <w:sz w:val="20"/>
                <w:szCs w:val="20"/>
              </w:rPr>
              <w:t>The Disability Ombudsman does not know about any key judicial decisions dealing with the right to political participation of persons with disabilities</w:t>
            </w:r>
            <w:r w:rsidRPr="00EA6830">
              <w:rPr>
                <w:rStyle w:val="FootnoteReference"/>
                <w:rFonts w:ascii="Verdana" w:eastAsia="Calibri" w:hAnsi="Verdana" w:cstheme="minorHAnsi"/>
                <w:sz w:val="20"/>
                <w:szCs w:val="20"/>
              </w:rPr>
              <w:footnoteReference w:id="39"/>
            </w:r>
            <w:r w:rsidRPr="00EA6830">
              <w:rPr>
                <w:rFonts w:ascii="Verdana" w:eastAsia="Calibri" w:hAnsi="Verdana" w:cstheme="minorHAnsi"/>
                <w:sz w:val="20"/>
                <w:szCs w:val="20"/>
              </w:rPr>
              <w:t>.</w:t>
            </w:r>
          </w:p>
          <w:p w14:paraId="586F2A80" w14:textId="77777777" w:rsidR="004F70B0" w:rsidRPr="00EA6830" w:rsidRDefault="004F70B0" w:rsidP="00EA04F8">
            <w:pPr>
              <w:spacing w:before="240"/>
              <w:contextualSpacing/>
              <w:rPr>
                <w:rFonts w:ascii="Verdana" w:eastAsia="Calibri" w:hAnsi="Verdana" w:cstheme="minorHAnsi"/>
                <w:sz w:val="20"/>
                <w:szCs w:val="20"/>
              </w:rPr>
            </w:pPr>
          </w:p>
          <w:p w14:paraId="3CE0E8FA" w14:textId="67F4A53C" w:rsidR="004F70B0" w:rsidRPr="00EA6830" w:rsidRDefault="004F70B0" w:rsidP="00EA04F8">
            <w:pPr>
              <w:spacing w:before="240"/>
              <w:contextualSpacing/>
              <w:rPr>
                <w:rFonts w:ascii="Verdana" w:eastAsia="Calibri" w:hAnsi="Verdana" w:cstheme="minorHAnsi"/>
                <w:sz w:val="20"/>
                <w:szCs w:val="20"/>
              </w:rPr>
            </w:pPr>
            <w:r w:rsidRPr="00EA6830">
              <w:rPr>
                <w:rFonts w:ascii="Verdana" w:eastAsia="Calibri" w:hAnsi="Verdana" w:cstheme="minorHAnsi"/>
                <w:sz w:val="20"/>
                <w:szCs w:val="20"/>
              </w:rPr>
              <w:t xml:space="preserve">According to §10(2)  of the Federal Disability Equality Act (BGStG), which applies to federal authorities and to the access to goods and services available to the public under federal competence, a conciliation procedure </w:t>
            </w:r>
            <w:r>
              <w:rPr>
                <w:rFonts w:ascii="Verdana" w:eastAsia="Calibri" w:hAnsi="Verdana" w:cstheme="minorHAnsi"/>
                <w:sz w:val="20"/>
                <w:szCs w:val="20"/>
              </w:rPr>
              <w:t xml:space="preserve">is mandatory before bringing </w:t>
            </w:r>
            <w:r w:rsidRPr="00EA6830">
              <w:rPr>
                <w:rFonts w:ascii="Verdana" w:eastAsia="Calibri" w:hAnsi="Verdana" w:cstheme="minorHAnsi"/>
                <w:sz w:val="20"/>
                <w:szCs w:val="20"/>
              </w:rPr>
              <w:t>in legal action. Conciliation procedures (</w:t>
            </w:r>
            <w:r w:rsidRPr="00EA6830">
              <w:rPr>
                <w:rFonts w:ascii="Verdana" w:eastAsia="Calibri" w:hAnsi="Verdana" w:cstheme="minorHAnsi"/>
                <w:i/>
                <w:sz w:val="20"/>
                <w:szCs w:val="20"/>
              </w:rPr>
              <w:t>Schlichtungen</w:t>
            </w:r>
            <w:r w:rsidRPr="00EA6830">
              <w:rPr>
                <w:rFonts w:ascii="Verdana" w:eastAsia="Calibri" w:hAnsi="Verdana" w:cstheme="minorHAnsi"/>
                <w:sz w:val="20"/>
                <w:szCs w:val="20"/>
              </w:rPr>
              <w:t>) to reach an amicable arrangement are conducted by the regional office of the Federal Social Office (</w:t>
            </w:r>
            <w:r w:rsidRPr="00EA6830">
              <w:rPr>
                <w:rFonts w:ascii="Verdana" w:eastAsia="Calibri" w:hAnsi="Verdana" w:cstheme="minorHAnsi"/>
                <w:i/>
                <w:sz w:val="20"/>
                <w:szCs w:val="20"/>
              </w:rPr>
              <w:t>Bundessozialamt</w:t>
            </w:r>
            <w:r w:rsidRPr="00EA6830">
              <w:rPr>
                <w:rFonts w:ascii="Verdana" w:eastAsia="Calibri" w:hAnsi="Verdana" w:cstheme="minorHAnsi"/>
                <w:sz w:val="20"/>
                <w:szCs w:val="20"/>
              </w:rPr>
              <w:t>) (§14 BGStG).</w:t>
            </w:r>
          </w:p>
          <w:p w14:paraId="7F6EA32F" w14:textId="77777777" w:rsidR="004F70B0" w:rsidRPr="00EA6830" w:rsidRDefault="004F70B0" w:rsidP="006B66E1">
            <w:pPr>
              <w:spacing w:before="240"/>
              <w:contextualSpacing/>
              <w:rPr>
                <w:rFonts w:ascii="Verdana" w:eastAsia="Calibri" w:hAnsi="Verdana" w:cs="Times New Roman"/>
                <w:sz w:val="20"/>
                <w:szCs w:val="20"/>
                <w:lang w:val="en-US"/>
              </w:rPr>
            </w:pPr>
          </w:p>
        </w:tc>
      </w:tr>
      <w:tr w:rsidR="004F70B0" w:rsidRPr="00EA6830" w14:paraId="7F6EA339" w14:textId="77777777" w:rsidTr="004F70B0">
        <w:trPr>
          <w:trHeight w:val="454"/>
        </w:trPr>
        <w:tc>
          <w:tcPr>
            <w:tcW w:w="1904" w:type="pct"/>
            <w:shd w:val="clear" w:color="auto" w:fill="auto"/>
            <w:vAlign w:val="center"/>
          </w:tcPr>
          <w:p w14:paraId="0B01CBED" w14:textId="77777777" w:rsidR="004F70B0" w:rsidRPr="00EA6830" w:rsidRDefault="004F70B0" w:rsidP="00172153">
            <w:pPr>
              <w:rPr>
                <w:rFonts w:ascii="Verdana" w:hAnsi="Verdana"/>
                <w:sz w:val="20"/>
                <w:szCs w:val="20"/>
              </w:rPr>
            </w:pPr>
            <w:r w:rsidRPr="00EA6830">
              <w:rPr>
                <w:rFonts w:ascii="Verdana" w:hAnsi="Verdana"/>
                <w:sz w:val="20"/>
                <w:szCs w:val="20"/>
              </w:rPr>
              <w:t>Have national non-judicial redress mechanisms (e.g. National Human Rights Institutions, Equality Bodies, Ombuds institutions) considered any cases related to the right to political participation of persons with disabilities?</w:t>
            </w:r>
          </w:p>
          <w:p w14:paraId="7F6EA332" w14:textId="5EF909C1" w:rsidR="004F70B0" w:rsidRPr="00EA6830" w:rsidRDefault="004F70B0" w:rsidP="00172153">
            <w:pPr>
              <w:spacing w:before="240"/>
              <w:contextualSpacing/>
              <w:rPr>
                <w:rFonts w:ascii="Verdana" w:eastAsia="Calibri" w:hAnsi="Verdana" w:cs="Times New Roman"/>
                <w:sz w:val="20"/>
                <w:szCs w:val="20"/>
                <w:lang w:val="en-GB"/>
              </w:rPr>
            </w:pPr>
            <w:r w:rsidRPr="00EA6830">
              <w:rPr>
                <w:rFonts w:ascii="Verdana" w:hAnsi="Verdana"/>
                <w:sz w:val="20"/>
                <w:szCs w:val="20"/>
              </w:rPr>
              <w:t>Please give details of relevant case law and any available data on the number of such cases.</w:t>
            </w:r>
          </w:p>
        </w:tc>
        <w:tc>
          <w:tcPr>
            <w:tcW w:w="3096" w:type="pct"/>
          </w:tcPr>
          <w:p w14:paraId="506AF7ED" w14:textId="2F73DCCB" w:rsidR="004F70B0" w:rsidRPr="00EA6830" w:rsidRDefault="004F70B0" w:rsidP="00EA04F8">
            <w:pPr>
              <w:spacing w:before="240"/>
              <w:contextualSpacing/>
              <w:rPr>
                <w:rFonts w:ascii="Verdana" w:eastAsia="Calibri" w:hAnsi="Verdana" w:cstheme="minorHAnsi"/>
                <w:sz w:val="20"/>
                <w:szCs w:val="20"/>
              </w:rPr>
            </w:pPr>
            <w:r w:rsidRPr="00EA6830">
              <w:rPr>
                <w:rFonts w:ascii="Verdana" w:eastAsia="Calibri" w:hAnsi="Verdana" w:cstheme="minorHAnsi"/>
                <w:sz w:val="20"/>
                <w:szCs w:val="20"/>
              </w:rPr>
              <w:t>In the course of the Election of the National Assembly 2008 and the Election of the Austrian President 2010 redress procedures were claimed by persons with disabilities because of barriers entering polling stations. The involved parties came to an agreement. These agreements were reached in the course of conciliations. Persons with disabilities who claim to have been discriminated against may request conciliations at the regional offices of the Federal Social Office</w:t>
            </w:r>
            <w:r w:rsidRPr="00EA6830">
              <w:rPr>
                <w:rFonts w:ascii="Verdana" w:eastAsia="Calibri" w:hAnsi="Verdana" w:cstheme="minorHAnsi"/>
                <w:i/>
                <w:sz w:val="20"/>
                <w:szCs w:val="20"/>
              </w:rPr>
              <w:t xml:space="preserve"> (Bundessozialamt)</w:t>
            </w:r>
            <w:r w:rsidRPr="00EA6830">
              <w:rPr>
                <w:rFonts w:ascii="Verdana" w:eastAsia="Calibri" w:hAnsi="Verdana" w:cstheme="minorHAnsi"/>
                <w:sz w:val="20"/>
                <w:szCs w:val="20"/>
              </w:rPr>
              <w:t>. However, the barriers at these polling stations were not removed subsequently.</w:t>
            </w:r>
            <w:r w:rsidRPr="00EA6830">
              <w:rPr>
                <w:rStyle w:val="FootnoteReference"/>
                <w:rFonts w:ascii="Verdana" w:eastAsia="Calibri" w:hAnsi="Verdana" w:cstheme="minorHAnsi"/>
                <w:sz w:val="20"/>
                <w:szCs w:val="20"/>
              </w:rPr>
              <w:footnoteReference w:id="40"/>
            </w:r>
            <w:r w:rsidRPr="00EA6830">
              <w:rPr>
                <w:rFonts w:ascii="Verdana" w:eastAsia="Calibri" w:hAnsi="Verdana" w:cstheme="minorHAnsi"/>
                <w:sz w:val="20"/>
                <w:szCs w:val="20"/>
              </w:rPr>
              <w:t xml:space="preserve"> </w:t>
            </w:r>
          </w:p>
          <w:p w14:paraId="6C2B7C7B" w14:textId="77777777" w:rsidR="004F70B0" w:rsidRPr="00EA6830" w:rsidRDefault="004F70B0" w:rsidP="00EA04F8">
            <w:pPr>
              <w:spacing w:before="240"/>
              <w:contextualSpacing/>
              <w:rPr>
                <w:rFonts w:ascii="Verdana" w:eastAsia="Calibri" w:hAnsi="Verdana" w:cstheme="minorHAnsi"/>
                <w:sz w:val="20"/>
                <w:szCs w:val="20"/>
              </w:rPr>
            </w:pPr>
          </w:p>
          <w:p w14:paraId="32B6211B" w14:textId="0AEA241A" w:rsidR="004F70B0" w:rsidRPr="00EA6830" w:rsidRDefault="004F70B0" w:rsidP="00EA04F8">
            <w:pPr>
              <w:spacing w:before="240"/>
              <w:contextualSpacing/>
              <w:rPr>
                <w:rFonts w:ascii="Verdana" w:eastAsia="Calibri" w:hAnsi="Verdana" w:cstheme="minorHAnsi"/>
                <w:sz w:val="20"/>
                <w:szCs w:val="20"/>
              </w:rPr>
            </w:pPr>
            <w:r w:rsidRPr="00EA6830">
              <w:rPr>
                <w:rFonts w:ascii="Verdana" w:eastAsia="Calibri" w:hAnsi="Verdana" w:cstheme="minorHAnsi"/>
                <w:sz w:val="20"/>
                <w:szCs w:val="20"/>
              </w:rPr>
              <w:t>Moreover, the Disability Ombudsman reported</w:t>
            </w:r>
            <w:r w:rsidRPr="00EA6830">
              <w:rPr>
                <w:rFonts w:ascii="Verdana" w:eastAsia="Calibri" w:hAnsi="Verdana" w:cstheme="minorHAnsi"/>
                <w:sz w:val="20"/>
                <w:szCs w:val="20"/>
                <w:vertAlign w:val="superscript"/>
              </w:rPr>
              <w:t>3</w:t>
            </w:r>
            <w:r w:rsidRPr="00EA6830">
              <w:rPr>
                <w:rFonts w:ascii="Verdana" w:eastAsia="Calibri" w:hAnsi="Verdana" w:cstheme="minorHAnsi"/>
                <w:sz w:val="20"/>
                <w:szCs w:val="20"/>
              </w:rPr>
              <w:t xml:space="preserve"> complaints by persons with </w:t>
            </w:r>
            <w:r w:rsidRPr="00EA6830">
              <w:rPr>
                <w:rFonts w:ascii="Verdana" w:eastAsia="Calibri" w:hAnsi="Verdana" w:cstheme="minorHAnsi"/>
                <w:sz w:val="20"/>
                <w:szCs w:val="20"/>
              </w:rPr>
              <w:lastRenderedPageBreak/>
              <w:t>disabilities because of problems with the right of political participation which could get settled through intervention by the Ombudsman</w:t>
            </w:r>
            <w:r w:rsidRPr="00EA6830">
              <w:rPr>
                <w:rStyle w:val="FootnoteReference"/>
                <w:rFonts w:ascii="Verdana" w:eastAsia="Calibri" w:hAnsi="Verdana" w:cstheme="minorHAnsi"/>
                <w:sz w:val="20"/>
                <w:szCs w:val="20"/>
              </w:rPr>
              <w:footnoteReference w:id="41"/>
            </w:r>
            <w:r w:rsidRPr="00EA6830">
              <w:rPr>
                <w:rFonts w:ascii="Verdana" w:eastAsia="Calibri" w:hAnsi="Verdana" w:cstheme="minorHAnsi"/>
                <w:sz w:val="20"/>
                <w:szCs w:val="20"/>
              </w:rPr>
              <w:t>. No detailed information on these cases was provided.</w:t>
            </w:r>
          </w:p>
          <w:p w14:paraId="5B536288" w14:textId="77777777" w:rsidR="004F70B0" w:rsidRPr="00EA6830" w:rsidRDefault="004F70B0" w:rsidP="00EA04F8">
            <w:pPr>
              <w:spacing w:before="240"/>
              <w:contextualSpacing/>
              <w:rPr>
                <w:rFonts w:ascii="Verdana" w:eastAsia="Calibri" w:hAnsi="Verdana" w:cstheme="minorHAnsi"/>
                <w:sz w:val="20"/>
                <w:szCs w:val="20"/>
              </w:rPr>
            </w:pPr>
          </w:p>
          <w:p w14:paraId="7F6EA338" w14:textId="4C60EF3D" w:rsidR="004F70B0" w:rsidRPr="00EA6830" w:rsidRDefault="004F70B0" w:rsidP="00A62555">
            <w:pPr>
              <w:spacing w:before="240"/>
              <w:contextualSpacing/>
              <w:rPr>
                <w:rFonts w:ascii="Verdana" w:eastAsia="Calibri" w:hAnsi="Verdana" w:cs="Times New Roman"/>
                <w:sz w:val="20"/>
                <w:szCs w:val="20"/>
                <w:lang w:val="en-GB"/>
              </w:rPr>
            </w:pPr>
            <w:r w:rsidRPr="00EA6830">
              <w:rPr>
                <w:rFonts w:ascii="Verdana" w:eastAsia="Calibri" w:hAnsi="Verdana" w:cstheme="minorHAnsi"/>
                <w:sz w:val="20"/>
                <w:szCs w:val="20"/>
                <w:lang w:val="en-GB"/>
              </w:rPr>
              <w:t>According to § 28(1) of the Elections to the Parliament Act and §16(1) Election to the European Parliament Act every (EU-) citizen has the right to complain against the electoral register. The same applies to all the Municipal Election Acts</w:t>
            </w:r>
            <w:r w:rsidRPr="00EA6830">
              <w:rPr>
                <w:rStyle w:val="FootnoteReference"/>
                <w:rFonts w:ascii="Verdana" w:eastAsia="Calibri" w:hAnsi="Verdana" w:cstheme="minorHAnsi"/>
                <w:sz w:val="20"/>
                <w:szCs w:val="20"/>
                <w:lang w:val="en-GB"/>
              </w:rPr>
              <w:footnoteReference w:id="42"/>
            </w:r>
            <w:r w:rsidRPr="00EA6830">
              <w:rPr>
                <w:rFonts w:ascii="Verdana" w:eastAsia="Calibri" w:hAnsi="Verdana" w:cstheme="minorHAnsi"/>
                <w:sz w:val="20"/>
                <w:szCs w:val="20"/>
                <w:lang w:val="en-GB"/>
              </w:rPr>
              <w:t>. The scope of these provisions does not do not foresee complaints on a failure to provide reasonable accommodation.</w:t>
            </w:r>
          </w:p>
        </w:tc>
      </w:tr>
      <w:tr w:rsidR="004F70B0" w:rsidRPr="00EA6830" w14:paraId="38726B87" w14:textId="77777777" w:rsidTr="004F70B0">
        <w:trPr>
          <w:trHeight w:val="454"/>
        </w:trPr>
        <w:tc>
          <w:tcPr>
            <w:tcW w:w="1904" w:type="pct"/>
            <w:shd w:val="clear" w:color="auto" w:fill="auto"/>
            <w:vAlign w:val="center"/>
          </w:tcPr>
          <w:p w14:paraId="768FD22F" w14:textId="010B66DA" w:rsidR="004F70B0" w:rsidRPr="00EA6830" w:rsidRDefault="004F70B0" w:rsidP="00172153">
            <w:pPr>
              <w:rPr>
                <w:rFonts w:ascii="Verdana" w:hAnsi="Verdana"/>
                <w:sz w:val="20"/>
                <w:szCs w:val="20"/>
              </w:rPr>
            </w:pPr>
            <w:r w:rsidRPr="00EA6830">
              <w:rPr>
                <w:rFonts w:ascii="Verdana" w:eastAsia="Calibri" w:hAnsi="Verdana" w:cs="Times New Roman"/>
                <w:sz w:val="20"/>
                <w:szCs w:val="20"/>
                <w:lang w:val="en-GB"/>
              </w:rPr>
              <w:lastRenderedPageBreak/>
              <w:t>Is information about how and where to complain in the case of problems with exercising the right to political participation accessible to all persons with disabilities?</w:t>
            </w:r>
            <w:r w:rsidRPr="00EA6830">
              <w:rPr>
                <w:rStyle w:val="CommentReference"/>
                <w:rFonts w:ascii="Verdana" w:hAnsi="Verdana"/>
                <w:sz w:val="20"/>
                <w:szCs w:val="20"/>
              </w:rPr>
              <w:t xml:space="preserve"> </w:t>
            </w:r>
          </w:p>
        </w:tc>
        <w:tc>
          <w:tcPr>
            <w:tcW w:w="3096" w:type="pct"/>
            <w:vAlign w:val="center"/>
          </w:tcPr>
          <w:p w14:paraId="35B33E86" w14:textId="5377B071" w:rsidR="004F70B0" w:rsidRPr="00EA6830" w:rsidRDefault="004F70B0" w:rsidP="00C201E8">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Information requests were sent to the responsible provincial election authorities. According to the given information the information on how and where to complain in cases of problems with political participation are accessible to all persons with disabilities</w:t>
            </w:r>
            <w:r w:rsidRPr="00EA6830">
              <w:rPr>
                <w:rStyle w:val="FootnoteReference"/>
                <w:rFonts w:ascii="Verdana" w:eastAsia="Calibri" w:hAnsi="Verdana" w:cs="Times New Roman"/>
                <w:sz w:val="20"/>
                <w:szCs w:val="20"/>
                <w:lang w:val="en-US"/>
              </w:rPr>
              <w:footnoteReference w:id="43"/>
            </w:r>
            <w:r w:rsidRPr="00EA6830">
              <w:rPr>
                <w:rFonts w:ascii="Verdana" w:eastAsia="Calibri" w:hAnsi="Verdana" w:cs="Times New Roman"/>
                <w:sz w:val="20"/>
                <w:szCs w:val="20"/>
                <w:lang w:val="en-US"/>
              </w:rPr>
              <w:t>. Vienna reported that all information is available on the website, and that there is also a hotline. Furthermore, there is an online complaint form available.</w:t>
            </w:r>
            <w:r w:rsidRPr="00EA6830">
              <w:rPr>
                <w:rStyle w:val="FootnoteReference"/>
                <w:rFonts w:ascii="Verdana" w:eastAsia="Calibri" w:hAnsi="Verdana" w:cs="Times New Roman"/>
                <w:sz w:val="20"/>
                <w:szCs w:val="20"/>
                <w:lang w:val="en-US"/>
              </w:rPr>
              <w:footnoteReference w:id="44"/>
            </w:r>
          </w:p>
        </w:tc>
      </w:tr>
    </w:tbl>
    <w:p w14:paraId="7F6EA33A" w14:textId="77777777" w:rsidR="00225B23" w:rsidRPr="00EA6830" w:rsidRDefault="00225B23" w:rsidP="00225B23">
      <w:pPr>
        <w:spacing w:after="0" w:line="240" w:lineRule="auto"/>
        <w:contextualSpacing/>
        <w:jc w:val="both"/>
        <w:rPr>
          <w:rFonts w:ascii="Verdana" w:eastAsia="Calibri" w:hAnsi="Verdana" w:cs="Times New Roman"/>
          <w:b/>
          <w:sz w:val="20"/>
          <w:szCs w:val="20"/>
          <w:lang w:val="en-US"/>
        </w:rPr>
      </w:pPr>
    </w:p>
    <w:p w14:paraId="7F6EA33B" w14:textId="372833F7" w:rsidR="0000356C" w:rsidRPr="00CA210D" w:rsidRDefault="00D22A9A" w:rsidP="00CA210D">
      <w:pPr>
        <w:pStyle w:val="ListParagraph"/>
        <w:numPr>
          <w:ilvl w:val="0"/>
          <w:numId w:val="16"/>
        </w:numPr>
        <w:rPr>
          <w:rFonts w:ascii="Verdana" w:eastAsia="Calibri" w:hAnsi="Verdana" w:cs="Times New Roman"/>
          <w:b/>
          <w:sz w:val="24"/>
          <w:szCs w:val="24"/>
          <w:lang w:val="en-GB"/>
        </w:rPr>
      </w:pPr>
      <w:r w:rsidRPr="00CA210D">
        <w:rPr>
          <w:rFonts w:ascii="Verdana" w:eastAsia="Calibri" w:hAnsi="Verdana" w:cs="Times New Roman"/>
          <w:b/>
          <w:sz w:val="20"/>
          <w:szCs w:val="20"/>
          <w:lang w:val="en-GB"/>
        </w:rPr>
        <w:br w:type="page"/>
      </w:r>
      <w:r w:rsidR="00576099" w:rsidRPr="00CA210D">
        <w:rPr>
          <w:rFonts w:ascii="Verdana" w:eastAsia="Calibri" w:hAnsi="Verdana" w:cs="Times New Roman"/>
          <w:b/>
          <w:sz w:val="24"/>
          <w:szCs w:val="24"/>
          <w:lang w:val="en-GB"/>
        </w:rPr>
        <w:lastRenderedPageBreak/>
        <w:t>OUTCOME INDICATORS</w:t>
      </w:r>
    </w:p>
    <w:p w14:paraId="7F6EA33C" w14:textId="77777777" w:rsidR="00473191" w:rsidRPr="00EA6830" w:rsidRDefault="00473191" w:rsidP="00473191">
      <w:pPr>
        <w:spacing w:after="0" w:line="240" w:lineRule="auto"/>
        <w:ind w:left="567"/>
        <w:contextualSpacing/>
        <w:jc w:val="both"/>
        <w:rPr>
          <w:rFonts w:ascii="Verdana" w:eastAsia="Calibri" w:hAnsi="Verdana" w:cs="Times New Roman"/>
          <w:b/>
          <w:sz w:val="20"/>
          <w:szCs w:val="20"/>
          <w:lang w:val="en-GB"/>
        </w:rPr>
      </w:pPr>
    </w:p>
    <w:tbl>
      <w:tblPr>
        <w:tblStyle w:val="TableGrid"/>
        <w:tblW w:w="4648" w:type="pct"/>
        <w:tblLayout w:type="fixed"/>
        <w:tblLook w:val="04A0" w:firstRow="1" w:lastRow="0" w:firstColumn="1" w:lastColumn="0" w:noHBand="0" w:noVBand="1"/>
      </w:tblPr>
      <w:tblGrid>
        <w:gridCol w:w="5436"/>
        <w:gridCol w:w="7740"/>
      </w:tblGrid>
      <w:tr w:rsidR="004F70B0" w:rsidRPr="00EA6830" w14:paraId="7F6EA341" w14:textId="77777777" w:rsidTr="004F70B0">
        <w:trPr>
          <w:trHeight w:val="454"/>
        </w:trPr>
        <w:tc>
          <w:tcPr>
            <w:tcW w:w="2063" w:type="pct"/>
            <w:shd w:val="clear" w:color="auto" w:fill="C6D9F1" w:themeFill="text2" w:themeFillTint="33"/>
            <w:vAlign w:val="center"/>
          </w:tcPr>
          <w:p w14:paraId="7F6EA33E" w14:textId="77777777" w:rsidR="004F70B0" w:rsidRPr="00EA6830" w:rsidRDefault="004F70B0" w:rsidP="0081459C">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Outcome indicators</w:t>
            </w:r>
          </w:p>
        </w:tc>
        <w:tc>
          <w:tcPr>
            <w:tcW w:w="2937" w:type="pct"/>
            <w:shd w:val="clear" w:color="auto" w:fill="C6D9F1" w:themeFill="text2" w:themeFillTint="33"/>
            <w:vAlign w:val="center"/>
          </w:tcPr>
          <w:p w14:paraId="7F6EA340" w14:textId="77777777" w:rsidR="004F70B0" w:rsidRPr="00EA6830" w:rsidRDefault="004F70B0" w:rsidP="0081459C">
            <w:pPr>
              <w:spacing w:before="240"/>
              <w:contextualSpacing/>
              <w:rPr>
                <w:rFonts w:ascii="Verdana" w:eastAsia="Calibri" w:hAnsi="Verdana" w:cs="Times New Roman"/>
                <w:b/>
                <w:sz w:val="20"/>
                <w:szCs w:val="20"/>
                <w:lang w:val="en-GB"/>
              </w:rPr>
            </w:pPr>
            <w:r w:rsidRPr="00EA6830">
              <w:rPr>
                <w:rFonts w:ascii="Verdana" w:eastAsia="Calibri" w:hAnsi="Verdana" w:cs="Times New Roman"/>
                <w:b/>
                <w:sz w:val="20"/>
                <w:szCs w:val="20"/>
                <w:lang w:val="en-GB"/>
              </w:rPr>
              <w:t>Source and supporting information</w:t>
            </w:r>
          </w:p>
        </w:tc>
      </w:tr>
      <w:tr w:rsidR="004F70B0" w:rsidRPr="00EA6830" w14:paraId="2A0371E7" w14:textId="77777777" w:rsidTr="004F70B0">
        <w:trPr>
          <w:trHeight w:val="454"/>
        </w:trPr>
        <w:tc>
          <w:tcPr>
            <w:tcW w:w="2063" w:type="pct"/>
            <w:shd w:val="clear" w:color="auto" w:fill="auto"/>
            <w:vAlign w:val="center"/>
          </w:tcPr>
          <w:p w14:paraId="6AF95115" w14:textId="77777777" w:rsidR="004F70B0" w:rsidRPr="00EA6830" w:rsidRDefault="004F70B0" w:rsidP="00500C09">
            <w:pPr>
              <w:spacing w:before="240"/>
              <w:contextualSpacing/>
              <w:rPr>
                <w:rFonts w:ascii="Verdana" w:hAnsi="Verdana" w:cs="Times New Roman"/>
                <w:sz w:val="20"/>
                <w:szCs w:val="20"/>
              </w:rPr>
            </w:pPr>
            <w:r w:rsidRPr="00EA6830">
              <w:rPr>
                <w:rFonts w:ascii="Verdana" w:hAnsi="Verdana" w:cs="Times New Roman"/>
                <w:sz w:val="20"/>
                <w:szCs w:val="20"/>
              </w:rPr>
              <w:t>What was the voter turnout rate for persons with disabilities in the most recent municipal elections and in the 2009 European Parliament elections? How does this compare with the voter turnout rate among the general population?</w:t>
            </w:r>
          </w:p>
          <w:p w14:paraId="79A89561" w14:textId="77777777" w:rsidR="004F70B0" w:rsidRPr="00EA6830" w:rsidRDefault="004F70B0" w:rsidP="00500C09">
            <w:pPr>
              <w:spacing w:before="240"/>
              <w:contextualSpacing/>
              <w:rPr>
                <w:rFonts w:ascii="Verdana" w:hAnsi="Verdana" w:cs="Times New Roman"/>
                <w:sz w:val="20"/>
                <w:szCs w:val="20"/>
              </w:rPr>
            </w:pPr>
          </w:p>
          <w:p w14:paraId="2C11356F" w14:textId="5377905D" w:rsidR="004F70B0" w:rsidRPr="00EA6830" w:rsidRDefault="004F70B0" w:rsidP="00D918B0">
            <w:pPr>
              <w:spacing w:before="240"/>
              <w:contextualSpacing/>
              <w:rPr>
                <w:rFonts w:ascii="Verdana" w:hAnsi="Verdana" w:cs="Times New Roman"/>
                <w:sz w:val="20"/>
                <w:szCs w:val="20"/>
              </w:rPr>
            </w:pPr>
            <w:r w:rsidRPr="00EA6830">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2937" w:type="pct"/>
            <w:vAlign w:val="center"/>
          </w:tcPr>
          <w:p w14:paraId="2CEA2FCE" w14:textId="77777777" w:rsidR="004F70B0" w:rsidRPr="00EA6830" w:rsidRDefault="004F70B0" w:rsidP="00500C09">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There is no data available on the voter turnout rate for persons with disabilities of the most recent municipal elections, the 2009 European Parliament elections and recent national elections.</w:t>
            </w:r>
            <w:r w:rsidRPr="00EA6830">
              <w:rPr>
                <w:rStyle w:val="FootnoteReference"/>
                <w:rFonts w:ascii="Verdana" w:eastAsia="Calibri" w:hAnsi="Verdana" w:cs="Times New Roman"/>
                <w:sz w:val="20"/>
                <w:szCs w:val="20"/>
                <w:lang w:val="en-US"/>
              </w:rPr>
              <w:footnoteReference w:id="45"/>
            </w:r>
            <w:r w:rsidRPr="00EA6830">
              <w:rPr>
                <w:rFonts w:ascii="Verdana" w:eastAsia="Calibri" w:hAnsi="Verdana" w:cs="Times New Roman"/>
                <w:sz w:val="20"/>
                <w:szCs w:val="20"/>
                <w:lang w:val="en-US"/>
              </w:rPr>
              <w:t xml:space="preserve"> </w:t>
            </w:r>
          </w:p>
          <w:p w14:paraId="2F38BA85" w14:textId="77777777" w:rsidR="004F70B0" w:rsidRPr="00EA6830" w:rsidRDefault="004F70B0" w:rsidP="00500C09">
            <w:pPr>
              <w:spacing w:before="240"/>
              <w:contextualSpacing/>
              <w:rPr>
                <w:rFonts w:ascii="Verdana" w:eastAsia="Calibri" w:hAnsi="Verdana" w:cs="Times New Roman"/>
                <w:sz w:val="20"/>
                <w:szCs w:val="20"/>
                <w:lang w:val="en-US"/>
              </w:rPr>
            </w:pPr>
          </w:p>
          <w:p w14:paraId="2E583B23" w14:textId="77777777" w:rsidR="004F70B0" w:rsidRPr="00EA6830" w:rsidRDefault="004F70B0" w:rsidP="00500C09">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Information requests were sent to the provincial election authorities, the Federal Ministry for Interior and the Statistics Austria.</w:t>
            </w:r>
          </w:p>
          <w:p w14:paraId="2B3BA3B0" w14:textId="09E177BF" w:rsidR="004F70B0" w:rsidRPr="00EA6830" w:rsidRDefault="004F70B0" w:rsidP="0081459C">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US"/>
              </w:rPr>
              <w:t>According to the Federal Ministry of Interior there is no legal basis for the development of a statistics on the voter turnout rate of persons with disabilities.</w:t>
            </w:r>
            <w:r w:rsidRPr="00EA6830">
              <w:rPr>
                <w:rStyle w:val="FootnoteReference"/>
                <w:rFonts w:ascii="Verdana" w:eastAsia="Calibri" w:hAnsi="Verdana" w:cs="Times New Roman"/>
                <w:sz w:val="20"/>
                <w:szCs w:val="20"/>
                <w:lang w:val="en-US"/>
              </w:rPr>
              <w:footnoteReference w:id="46"/>
            </w:r>
          </w:p>
        </w:tc>
      </w:tr>
      <w:tr w:rsidR="004F70B0" w:rsidRPr="00EA6830" w14:paraId="7F6EA347" w14:textId="77777777" w:rsidTr="004F70B0">
        <w:trPr>
          <w:trHeight w:val="454"/>
        </w:trPr>
        <w:tc>
          <w:tcPr>
            <w:tcW w:w="2063" w:type="pct"/>
            <w:shd w:val="clear" w:color="auto" w:fill="auto"/>
            <w:vAlign w:val="center"/>
          </w:tcPr>
          <w:p w14:paraId="7F6EA343" w14:textId="77777777" w:rsidR="004F70B0" w:rsidRPr="00EA6830" w:rsidRDefault="004F70B0" w:rsidP="00D918B0">
            <w:pPr>
              <w:spacing w:before="240"/>
              <w:contextualSpacing/>
              <w:rPr>
                <w:rFonts w:ascii="Verdana" w:hAnsi="Verdana"/>
                <w:sz w:val="20"/>
                <w:szCs w:val="20"/>
                <w:highlight w:val="yellow"/>
              </w:rPr>
            </w:pPr>
            <w:r w:rsidRPr="00EA6830">
              <w:rPr>
                <w:rFonts w:ascii="Verdana" w:hAnsi="Verdana" w:cs="Times New Roman"/>
                <w:sz w:val="20"/>
                <w:szCs w:val="20"/>
              </w:rPr>
              <w:t>How many members of the current national parliament identify as having a disability?</w:t>
            </w:r>
          </w:p>
        </w:tc>
        <w:tc>
          <w:tcPr>
            <w:tcW w:w="2937" w:type="pct"/>
            <w:vAlign w:val="center"/>
          </w:tcPr>
          <w:p w14:paraId="7F6EA346" w14:textId="31B8C554" w:rsidR="004F70B0" w:rsidRPr="00EA6830" w:rsidRDefault="004F70B0" w:rsidP="0081459C">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There are two members of the current national parliament who identify themselves with having a disability.</w:t>
            </w:r>
            <w:r w:rsidRPr="00EA6830">
              <w:rPr>
                <w:rStyle w:val="FootnoteReference"/>
                <w:rFonts w:ascii="Verdana" w:eastAsia="Calibri" w:hAnsi="Verdana" w:cs="Times New Roman"/>
                <w:sz w:val="20"/>
                <w:szCs w:val="20"/>
                <w:lang w:val="en-GB"/>
              </w:rPr>
              <w:footnoteReference w:id="47"/>
            </w:r>
          </w:p>
        </w:tc>
      </w:tr>
      <w:tr w:rsidR="004F70B0" w:rsidRPr="00EA6830" w14:paraId="247545D3" w14:textId="77777777" w:rsidTr="004F70B0">
        <w:trPr>
          <w:trHeight w:val="454"/>
        </w:trPr>
        <w:tc>
          <w:tcPr>
            <w:tcW w:w="2063" w:type="pct"/>
            <w:shd w:val="clear" w:color="auto" w:fill="auto"/>
            <w:vAlign w:val="center"/>
          </w:tcPr>
          <w:p w14:paraId="03358A94" w14:textId="149A7EE9" w:rsidR="004F70B0" w:rsidRPr="00EA6830" w:rsidRDefault="004F70B0" w:rsidP="00D918B0">
            <w:pPr>
              <w:spacing w:before="240"/>
              <w:contextualSpacing/>
              <w:rPr>
                <w:rFonts w:ascii="Verdana" w:hAnsi="Verdana" w:cs="Times New Roman"/>
                <w:sz w:val="20"/>
                <w:szCs w:val="20"/>
              </w:rPr>
            </w:pPr>
            <w:r w:rsidRPr="00EA6830">
              <w:rPr>
                <w:rFonts w:ascii="Verdana" w:hAnsi="Verdana" w:cs="Times New Roman"/>
                <w:sz w:val="20"/>
                <w:szCs w:val="20"/>
              </w:rPr>
              <w:t>How many members of current municipal governments identify as having a disability?</w:t>
            </w:r>
          </w:p>
        </w:tc>
        <w:tc>
          <w:tcPr>
            <w:tcW w:w="2937" w:type="pct"/>
            <w:vAlign w:val="center"/>
          </w:tcPr>
          <w:p w14:paraId="06035C2F" w14:textId="77777777" w:rsidR="004F70B0" w:rsidRPr="00EA6830" w:rsidRDefault="004F70B0" w:rsidP="00135045">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There are no members of current municipal governments who identify as having a disability.</w:t>
            </w:r>
            <w:r w:rsidRPr="00EA6830">
              <w:rPr>
                <w:rStyle w:val="FootnoteReference"/>
                <w:rFonts w:ascii="Verdana" w:eastAsia="Calibri" w:hAnsi="Verdana" w:cs="Times New Roman"/>
                <w:sz w:val="20"/>
                <w:szCs w:val="20"/>
                <w:lang w:val="en-GB"/>
              </w:rPr>
              <w:footnoteReference w:id="48"/>
            </w:r>
          </w:p>
          <w:p w14:paraId="49F418A4" w14:textId="77777777" w:rsidR="004F70B0" w:rsidRPr="00EA6830" w:rsidRDefault="004F70B0" w:rsidP="00135045">
            <w:pPr>
              <w:spacing w:before="240"/>
              <w:contextualSpacing/>
              <w:rPr>
                <w:rFonts w:ascii="Verdana" w:eastAsia="Calibri" w:hAnsi="Verdana" w:cs="Times New Roman"/>
                <w:sz w:val="20"/>
                <w:szCs w:val="20"/>
                <w:lang w:val="en-GB"/>
              </w:rPr>
            </w:pPr>
          </w:p>
          <w:p w14:paraId="3811F874" w14:textId="346233CE" w:rsidR="004F70B0" w:rsidRPr="00EA6830" w:rsidRDefault="004F70B0" w:rsidP="00A606EA">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GB"/>
              </w:rPr>
              <w:t>An information request was sent to the Austrian Association of Municipalities. In a response they explained that they have no data on the requested information.</w:t>
            </w:r>
            <w:r w:rsidRPr="00EA6830">
              <w:rPr>
                <w:rStyle w:val="FootnoteReference"/>
                <w:rFonts w:ascii="Verdana" w:eastAsia="Calibri" w:hAnsi="Verdana" w:cs="Times New Roman"/>
                <w:sz w:val="20"/>
                <w:szCs w:val="20"/>
                <w:lang w:val="en-GB"/>
              </w:rPr>
              <w:footnoteReference w:id="49"/>
            </w:r>
          </w:p>
        </w:tc>
      </w:tr>
      <w:tr w:rsidR="004F70B0" w:rsidRPr="00EA6830" w14:paraId="7F6EA36D" w14:textId="77777777" w:rsidTr="004F70B0">
        <w:trPr>
          <w:trHeight w:val="454"/>
        </w:trPr>
        <w:tc>
          <w:tcPr>
            <w:tcW w:w="2063" w:type="pct"/>
            <w:shd w:val="clear" w:color="auto" w:fill="auto"/>
            <w:vAlign w:val="center"/>
          </w:tcPr>
          <w:p w14:paraId="7F6EA35B" w14:textId="77777777" w:rsidR="004F70B0" w:rsidRPr="00EA6830" w:rsidRDefault="004F70B0" w:rsidP="00A632F4">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What proportion of polling stations is accessible for persons with disabilities? Please indicate whether polling stations are accessible for all persons with disabilities or for particular impairment groups e.g. persons with visual, hearing, physical impairments etc)</w:t>
            </w:r>
          </w:p>
        </w:tc>
        <w:tc>
          <w:tcPr>
            <w:tcW w:w="2937" w:type="pct"/>
          </w:tcPr>
          <w:p w14:paraId="75F9D12D"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For an Austria-wide referendum that took place in January 2013 in the province of </w:t>
            </w:r>
            <w:r w:rsidRPr="00EA6830">
              <w:rPr>
                <w:rFonts w:ascii="Verdana" w:hAnsi="Verdana" w:cstheme="minorHAnsi"/>
                <w:b/>
                <w:sz w:val="20"/>
                <w:szCs w:val="20"/>
              </w:rPr>
              <w:t xml:space="preserve">Vorarlberg </w:t>
            </w:r>
            <w:r w:rsidRPr="00EA6830">
              <w:rPr>
                <w:rFonts w:ascii="Verdana" w:hAnsi="Verdana" w:cstheme="minorHAnsi"/>
                <w:sz w:val="20"/>
                <w:szCs w:val="20"/>
              </w:rPr>
              <w:t xml:space="preserve">there were 81,6% (279 out of 342) polling stations accessible for persons with disabilities. Seven out of these 279 accessible polling stations were installed in long-term institutions. However, the election authorities of Vorarlberg did not provide information whether these buildings are accessible for all impairment </w:t>
            </w:r>
            <w:r w:rsidRPr="00EA6830">
              <w:rPr>
                <w:rFonts w:ascii="Verdana" w:hAnsi="Verdana" w:cstheme="minorHAnsi"/>
                <w:sz w:val="20"/>
                <w:szCs w:val="20"/>
              </w:rPr>
              <w:lastRenderedPageBreak/>
              <w:t>groups. Mobile electoral commissions were installed in every municipality of Vorarlberg.</w:t>
            </w:r>
            <w:r w:rsidRPr="00EA6830">
              <w:rPr>
                <w:rStyle w:val="FootnoteReference"/>
                <w:rFonts w:ascii="Verdana" w:hAnsi="Verdana" w:cstheme="minorHAnsi"/>
                <w:sz w:val="20"/>
                <w:szCs w:val="20"/>
              </w:rPr>
              <w:footnoteReference w:id="50"/>
            </w:r>
            <w:r w:rsidRPr="00EA6830">
              <w:rPr>
                <w:rFonts w:ascii="Verdana" w:hAnsi="Verdana" w:cstheme="minorHAnsi"/>
                <w:sz w:val="20"/>
                <w:szCs w:val="20"/>
              </w:rPr>
              <w:t xml:space="preserve"> </w:t>
            </w:r>
          </w:p>
          <w:p w14:paraId="0BDA9E97" w14:textId="77777777" w:rsidR="004F70B0" w:rsidRPr="00EA6830" w:rsidRDefault="004F70B0" w:rsidP="00EA04F8">
            <w:pPr>
              <w:spacing w:before="240"/>
              <w:contextualSpacing/>
              <w:rPr>
                <w:rFonts w:ascii="Verdana" w:hAnsi="Verdana" w:cstheme="minorHAnsi"/>
                <w:sz w:val="20"/>
                <w:szCs w:val="20"/>
              </w:rPr>
            </w:pPr>
          </w:p>
          <w:p w14:paraId="5D02C86B"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In the province of </w:t>
            </w:r>
            <w:r w:rsidRPr="00EA6830">
              <w:rPr>
                <w:rFonts w:ascii="Verdana" w:hAnsi="Verdana" w:cstheme="minorHAnsi"/>
                <w:b/>
                <w:sz w:val="20"/>
                <w:szCs w:val="20"/>
              </w:rPr>
              <w:t>Styria</w:t>
            </w:r>
            <w:r w:rsidRPr="00EA6830">
              <w:rPr>
                <w:rFonts w:ascii="Verdana" w:hAnsi="Verdana" w:cstheme="minorHAnsi"/>
                <w:sz w:val="20"/>
                <w:szCs w:val="20"/>
              </w:rPr>
              <w:t>, there is one polling station barrier free accessible in every municipality (there are 539 municipalities). The election authority did not provide information whether the accessibility meets the needs of all impairment groups.</w:t>
            </w:r>
            <w:r w:rsidRPr="00EA6830">
              <w:rPr>
                <w:rStyle w:val="FootnoteReference"/>
                <w:rFonts w:ascii="Verdana" w:hAnsi="Verdana" w:cstheme="minorHAnsi"/>
                <w:sz w:val="20"/>
                <w:szCs w:val="20"/>
              </w:rPr>
              <w:footnoteReference w:id="51"/>
            </w:r>
          </w:p>
          <w:p w14:paraId="4ECF883D" w14:textId="77777777" w:rsidR="004F70B0" w:rsidRPr="00EA6830" w:rsidRDefault="004F70B0" w:rsidP="00EA04F8">
            <w:pPr>
              <w:spacing w:before="240"/>
              <w:contextualSpacing/>
              <w:rPr>
                <w:rFonts w:ascii="Verdana" w:hAnsi="Verdana" w:cstheme="minorHAnsi"/>
                <w:sz w:val="20"/>
                <w:szCs w:val="20"/>
              </w:rPr>
            </w:pPr>
          </w:p>
          <w:p w14:paraId="0AAA5E0F"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In the province of </w:t>
            </w:r>
            <w:r w:rsidRPr="00EA6830">
              <w:rPr>
                <w:rFonts w:ascii="Verdana" w:hAnsi="Verdana" w:cstheme="minorHAnsi"/>
                <w:b/>
                <w:sz w:val="20"/>
                <w:szCs w:val="20"/>
              </w:rPr>
              <w:t xml:space="preserve">Tyrol </w:t>
            </w:r>
            <w:r w:rsidRPr="00EA6830">
              <w:rPr>
                <w:rFonts w:ascii="Verdana" w:hAnsi="Verdana" w:cstheme="minorHAnsi"/>
                <w:sz w:val="20"/>
                <w:szCs w:val="20"/>
              </w:rPr>
              <w:t>there were 76% (431 out of 567) polling stations accessible for persons with disabilities during the last municipality elections 2010</w:t>
            </w:r>
            <w:r w:rsidRPr="00EA6830">
              <w:rPr>
                <w:rStyle w:val="FootnoteReference"/>
                <w:rFonts w:ascii="Verdana" w:hAnsi="Verdana" w:cstheme="minorHAnsi"/>
                <w:sz w:val="20"/>
                <w:szCs w:val="20"/>
              </w:rPr>
              <w:footnoteReference w:id="52"/>
            </w:r>
            <w:r w:rsidRPr="00EA6830">
              <w:rPr>
                <w:rFonts w:ascii="Verdana" w:hAnsi="Verdana" w:cstheme="minorHAnsi"/>
                <w:sz w:val="20"/>
                <w:szCs w:val="20"/>
              </w:rPr>
              <w:t xml:space="preserve">. No information about whether these polling stations are accessible for all impairment groups. </w:t>
            </w:r>
          </w:p>
          <w:p w14:paraId="44E72D61" w14:textId="77777777" w:rsidR="004F70B0" w:rsidRPr="00EA6830" w:rsidRDefault="004F70B0" w:rsidP="00EA04F8">
            <w:pPr>
              <w:spacing w:before="240"/>
              <w:contextualSpacing/>
              <w:rPr>
                <w:rFonts w:ascii="Verdana" w:hAnsi="Verdana" w:cstheme="minorHAnsi"/>
                <w:sz w:val="20"/>
                <w:szCs w:val="20"/>
              </w:rPr>
            </w:pPr>
          </w:p>
          <w:p w14:paraId="73C4CA76"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In the province of </w:t>
            </w:r>
            <w:r w:rsidRPr="00EA6830">
              <w:rPr>
                <w:rFonts w:ascii="Verdana" w:hAnsi="Verdana" w:cstheme="minorHAnsi"/>
                <w:b/>
                <w:sz w:val="20"/>
                <w:szCs w:val="20"/>
              </w:rPr>
              <w:t>Salzburg</w:t>
            </w:r>
            <w:r w:rsidRPr="00EA6830">
              <w:rPr>
                <w:rFonts w:ascii="Verdana" w:hAnsi="Verdana" w:cstheme="minorHAnsi"/>
                <w:sz w:val="20"/>
                <w:szCs w:val="20"/>
              </w:rPr>
              <w:t xml:space="preserve"> there were 433 polling stations accessible for persons with disabilities during the state elections 2013. 26 of these polling stations were located in a home for pensioners. In 10 municipalities there were mobile electoral commissions installed.</w:t>
            </w:r>
            <w:r w:rsidRPr="00EA6830">
              <w:rPr>
                <w:rStyle w:val="FootnoteReference"/>
                <w:rFonts w:ascii="Verdana" w:hAnsi="Verdana" w:cstheme="minorHAnsi"/>
                <w:sz w:val="20"/>
                <w:szCs w:val="20"/>
              </w:rPr>
              <w:footnoteReference w:id="53"/>
            </w:r>
            <w:r w:rsidRPr="00EA6830">
              <w:rPr>
                <w:rFonts w:ascii="Verdana" w:hAnsi="Verdana" w:cstheme="minorHAnsi"/>
                <w:sz w:val="20"/>
                <w:szCs w:val="20"/>
              </w:rPr>
              <w:t xml:space="preserve"> There are 119 municipalities in Salzburg.</w:t>
            </w:r>
            <w:r w:rsidRPr="00EA6830">
              <w:rPr>
                <w:rStyle w:val="FootnoteReference"/>
                <w:rFonts w:ascii="Verdana" w:hAnsi="Verdana" w:cstheme="minorHAnsi"/>
                <w:sz w:val="20"/>
                <w:szCs w:val="20"/>
              </w:rPr>
              <w:footnoteReference w:id="54"/>
            </w:r>
          </w:p>
          <w:p w14:paraId="5F98041B" w14:textId="77777777" w:rsidR="004F70B0" w:rsidRPr="00EA6830" w:rsidRDefault="004F70B0" w:rsidP="00EA04F8">
            <w:pPr>
              <w:spacing w:before="240"/>
              <w:contextualSpacing/>
              <w:rPr>
                <w:rFonts w:ascii="Verdana" w:hAnsi="Verdana" w:cstheme="minorHAnsi"/>
                <w:sz w:val="20"/>
                <w:szCs w:val="20"/>
              </w:rPr>
            </w:pPr>
          </w:p>
          <w:p w14:paraId="65E267BB"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In Vienna there are 550 polling stations accessible for persons with disabilities. Vienna did not provide the total number of polling stations. The City of </w:t>
            </w:r>
            <w:r w:rsidRPr="00EA6830">
              <w:rPr>
                <w:rFonts w:ascii="Verdana" w:hAnsi="Verdana" w:cstheme="minorHAnsi"/>
                <w:b/>
                <w:sz w:val="20"/>
                <w:szCs w:val="20"/>
              </w:rPr>
              <w:t>Vienna</w:t>
            </w:r>
            <w:r w:rsidRPr="00EA6830">
              <w:rPr>
                <w:rFonts w:ascii="Verdana" w:hAnsi="Verdana" w:cstheme="minorHAnsi"/>
                <w:sz w:val="20"/>
                <w:szCs w:val="20"/>
              </w:rPr>
              <w:t xml:space="preserve"> together with the </w:t>
            </w:r>
            <w:r w:rsidRPr="00EA6830">
              <w:rPr>
                <w:rFonts w:ascii="Verdana" w:eastAsia="Calibri" w:hAnsi="Verdana" w:cstheme="minorHAnsi"/>
                <w:sz w:val="20"/>
                <w:szCs w:val="20"/>
              </w:rPr>
              <w:t xml:space="preserve">Austrian National Council of Disabled Persons (ÖAR) </w:t>
            </w:r>
            <w:r w:rsidRPr="00EA6830">
              <w:rPr>
                <w:rFonts w:ascii="Verdana" w:hAnsi="Verdana" w:cstheme="minorHAnsi"/>
                <w:sz w:val="20"/>
                <w:szCs w:val="20"/>
              </w:rPr>
              <w:t xml:space="preserve">elaborated a catalogue of criteria which have to be fulfilled to call a polling station ”barrier-free”. This document is not publicly available. These criteria meet the accessibility requirements of different groups of impairment. During the European Parliament elections 2009 there were 37 and during the municipal elections 2009 there were 35 mobile election commissions installed in Vienna. Special polling </w:t>
            </w:r>
            <w:r w:rsidRPr="00EA6830">
              <w:rPr>
                <w:rFonts w:ascii="Verdana" w:hAnsi="Verdana" w:cstheme="minorHAnsi"/>
                <w:sz w:val="20"/>
                <w:szCs w:val="20"/>
              </w:rPr>
              <w:lastRenderedPageBreak/>
              <w:t>stations in long term institutions were 51 during the EU-Parliament elections 2009 and 46 during the municipal elections 2010.</w:t>
            </w:r>
            <w:r w:rsidRPr="00EA6830">
              <w:rPr>
                <w:rStyle w:val="FootnoteReference"/>
                <w:rFonts w:ascii="Verdana" w:hAnsi="Verdana" w:cstheme="minorHAnsi"/>
                <w:sz w:val="20"/>
                <w:szCs w:val="20"/>
              </w:rPr>
              <w:footnoteReference w:id="55"/>
            </w:r>
          </w:p>
          <w:p w14:paraId="39B26EAA" w14:textId="77777777" w:rsidR="004F70B0" w:rsidRPr="00EA6830" w:rsidRDefault="004F70B0" w:rsidP="00EA04F8">
            <w:pPr>
              <w:spacing w:before="240"/>
              <w:contextualSpacing/>
              <w:rPr>
                <w:rFonts w:ascii="Verdana" w:hAnsi="Verdana" w:cstheme="minorHAnsi"/>
                <w:sz w:val="20"/>
                <w:szCs w:val="20"/>
              </w:rPr>
            </w:pPr>
          </w:p>
          <w:p w14:paraId="0D4C41A8"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 xml:space="preserve">There was no information provided by the provincial Government of </w:t>
            </w:r>
            <w:r w:rsidRPr="00EA6830">
              <w:rPr>
                <w:rFonts w:ascii="Verdana" w:hAnsi="Verdana" w:cstheme="minorHAnsi"/>
                <w:b/>
                <w:sz w:val="20"/>
                <w:szCs w:val="20"/>
              </w:rPr>
              <w:t>Burgenland</w:t>
            </w:r>
            <w:r w:rsidRPr="00EA6830">
              <w:rPr>
                <w:rFonts w:ascii="Verdana" w:hAnsi="Verdana" w:cstheme="minorHAnsi"/>
                <w:sz w:val="20"/>
                <w:szCs w:val="20"/>
              </w:rPr>
              <w:t xml:space="preserve"> on an information request.</w:t>
            </w:r>
          </w:p>
          <w:p w14:paraId="417F91F6" w14:textId="77777777" w:rsidR="004F70B0" w:rsidRPr="00EA6830" w:rsidRDefault="004F70B0" w:rsidP="00EA04F8">
            <w:pPr>
              <w:spacing w:before="240"/>
              <w:contextualSpacing/>
              <w:rPr>
                <w:rFonts w:ascii="Verdana" w:hAnsi="Verdana" w:cstheme="minorHAnsi"/>
                <w:sz w:val="20"/>
                <w:szCs w:val="20"/>
              </w:rPr>
            </w:pPr>
          </w:p>
          <w:p w14:paraId="560F7297"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An evaluation of the participation in elections of persons with disabilities by A. Wegscheider revealed the following: Sometimes polling stations are declared to be barrier-free if the entry is accessible with a wheelchair. Nevertheless it is occasionally not considered that there are more polling stations within a building which are only accessible by stairways.</w:t>
            </w:r>
          </w:p>
          <w:p w14:paraId="29ABFE19" w14:textId="77777777" w:rsidR="004F70B0" w:rsidRPr="00EA6830" w:rsidRDefault="004F70B0" w:rsidP="00EA04F8">
            <w:pPr>
              <w:spacing w:before="240"/>
              <w:contextualSpacing/>
              <w:rPr>
                <w:rFonts w:ascii="Verdana" w:hAnsi="Verdana" w:cstheme="minorHAnsi"/>
                <w:sz w:val="20"/>
                <w:szCs w:val="20"/>
              </w:rPr>
            </w:pPr>
            <w:r w:rsidRPr="00EA6830">
              <w:rPr>
                <w:rFonts w:ascii="Verdana" w:hAnsi="Verdana" w:cstheme="minorHAnsi"/>
                <w:sz w:val="20"/>
                <w:szCs w:val="20"/>
              </w:rPr>
              <w:t>Furthermore some polling stations do not have a guidance system for blind and strong visually impaired persons.</w:t>
            </w:r>
          </w:p>
          <w:p w14:paraId="7F6EA36C" w14:textId="463FC67F" w:rsidR="004F70B0" w:rsidRPr="00EA6830" w:rsidRDefault="004F70B0" w:rsidP="00F256FA">
            <w:pPr>
              <w:spacing w:before="240"/>
              <w:contextualSpacing/>
              <w:rPr>
                <w:rFonts w:ascii="Verdana" w:hAnsi="Verdana"/>
                <w:sz w:val="20"/>
                <w:szCs w:val="20"/>
                <w:lang w:val="en-US"/>
              </w:rPr>
            </w:pPr>
            <w:r w:rsidRPr="00EA6830">
              <w:rPr>
                <w:rFonts w:ascii="Verdana" w:hAnsi="Verdana" w:cstheme="minorHAnsi"/>
                <w:sz w:val="20"/>
                <w:szCs w:val="20"/>
              </w:rPr>
              <w:t>Regularly it is forgotten to provide voting devices with app</w:t>
            </w:r>
            <w:r w:rsidRPr="00933DB5">
              <w:rPr>
                <w:rFonts w:ascii="Verdana" w:hAnsi="Verdana" w:cstheme="minorHAnsi"/>
                <w:sz w:val="20"/>
                <w:szCs w:val="20"/>
                <w:shd w:val="clear" w:color="auto" w:fill="FFFEEF"/>
              </w:rPr>
              <w:t>ropriate</w:t>
            </w:r>
            <w:r w:rsidRPr="00EA6830">
              <w:rPr>
                <w:rFonts w:ascii="Verdana" w:hAnsi="Verdana" w:cstheme="minorHAnsi"/>
                <w:sz w:val="20"/>
                <w:szCs w:val="20"/>
              </w:rPr>
              <w:t xml:space="preserve"> additional texts in braille.</w:t>
            </w:r>
            <w:r w:rsidRPr="00EA6830">
              <w:rPr>
                <w:rStyle w:val="FootnoteReference"/>
                <w:rFonts w:ascii="Verdana" w:hAnsi="Verdana" w:cstheme="minorHAnsi"/>
                <w:sz w:val="20"/>
                <w:szCs w:val="20"/>
              </w:rPr>
              <w:footnoteReference w:id="56"/>
            </w:r>
          </w:p>
        </w:tc>
      </w:tr>
      <w:tr w:rsidR="004F70B0" w:rsidRPr="00EA6830" w14:paraId="7F6EA37C" w14:textId="77777777" w:rsidTr="004F70B0">
        <w:trPr>
          <w:trHeight w:val="454"/>
        </w:trPr>
        <w:tc>
          <w:tcPr>
            <w:tcW w:w="2063" w:type="pct"/>
            <w:shd w:val="clear" w:color="auto" w:fill="auto"/>
            <w:vAlign w:val="center"/>
          </w:tcPr>
          <w:p w14:paraId="7F6EA36F" w14:textId="77777777" w:rsidR="004F70B0" w:rsidRPr="00EA6830" w:rsidRDefault="004F70B0" w:rsidP="00512D92">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Does the website to provide instructions for voting and information on candidates run by the ministry responsible for organising elections meet accessibility standards (e.g. equivalent to Web Content Accessibility Guidelines (WCAG) 2.0 AA standard)?</w:t>
            </w:r>
          </w:p>
        </w:tc>
        <w:tc>
          <w:tcPr>
            <w:tcW w:w="2937" w:type="pct"/>
          </w:tcPr>
          <w:p w14:paraId="0B64974E" w14:textId="77777777"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With the implementation of the Federal E-Government Act the Austrian government developed a website which guides users through all questions concerning public administration, administrative procedures and administration forms. The website help.gv.at meets all the WCAG 2.0 standards.</w:t>
            </w:r>
            <w:r w:rsidRPr="00EA6830">
              <w:rPr>
                <w:rStyle w:val="FootnoteReference"/>
                <w:rFonts w:ascii="Verdana" w:eastAsia="Calibri" w:hAnsi="Verdana" w:cs="Times New Roman"/>
                <w:sz w:val="20"/>
                <w:szCs w:val="20"/>
              </w:rPr>
              <w:footnoteReference w:id="57"/>
            </w:r>
            <w:r w:rsidRPr="00EA6830">
              <w:rPr>
                <w:rFonts w:ascii="Verdana" w:eastAsia="Calibri" w:hAnsi="Verdana" w:cs="Times New Roman"/>
                <w:sz w:val="20"/>
                <w:szCs w:val="20"/>
              </w:rPr>
              <w:t xml:space="preserve"> It is assumed that this is based on self-assessment of the website.</w:t>
            </w:r>
            <w:r w:rsidRPr="00EA6830">
              <w:rPr>
                <w:rStyle w:val="FootnoteReference"/>
                <w:rFonts w:ascii="Verdana" w:eastAsia="Calibri" w:hAnsi="Verdana" w:cs="Times New Roman"/>
                <w:sz w:val="20"/>
                <w:szCs w:val="20"/>
              </w:rPr>
              <w:footnoteReference w:id="58"/>
            </w:r>
          </w:p>
          <w:p w14:paraId="2D0D2FAD" w14:textId="77777777"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According to the Federal Ministry of Interior the web-information on elections provided by the Federal Ministry of Interior meet the WCAG 2.0 standards.</w:t>
            </w:r>
          </w:p>
          <w:p w14:paraId="6DEADD5B" w14:textId="77777777" w:rsidR="004F70B0" w:rsidRPr="00EA6830" w:rsidRDefault="004F70B0" w:rsidP="00EA04F8">
            <w:pPr>
              <w:spacing w:before="240"/>
              <w:contextualSpacing/>
              <w:rPr>
                <w:rFonts w:ascii="Verdana" w:eastAsia="Calibri" w:hAnsi="Verdana" w:cs="Times New Roman"/>
                <w:sz w:val="20"/>
                <w:szCs w:val="20"/>
              </w:rPr>
            </w:pPr>
          </w:p>
          <w:p w14:paraId="663AE045" w14:textId="77777777"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However, the official information on elections as well as the information on postal election which are delivered via postal services are not available in an easy to read version or in Braille letters.</w:t>
            </w:r>
            <w:r w:rsidRPr="00EA6830">
              <w:rPr>
                <w:rStyle w:val="FootnoteReference"/>
                <w:rFonts w:ascii="Verdana" w:eastAsia="Calibri" w:hAnsi="Verdana" w:cs="Times New Roman"/>
                <w:sz w:val="20"/>
                <w:szCs w:val="20"/>
              </w:rPr>
              <w:footnoteReference w:id="59"/>
            </w:r>
          </w:p>
          <w:p w14:paraId="7BBAACC7" w14:textId="77777777" w:rsidR="004F70B0" w:rsidRPr="00EA6830" w:rsidRDefault="004F70B0" w:rsidP="00EA04F8">
            <w:pPr>
              <w:spacing w:before="240"/>
              <w:contextualSpacing/>
              <w:rPr>
                <w:rFonts w:ascii="Verdana" w:eastAsia="Calibri" w:hAnsi="Verdana" w:cs="Times New Roman"/>
                <w:sz w:val="20"/>
                <w:szCs w:val="20"/>
              </w:rPr>
            </w:pPr>
          </w:p>
          <w:p w14:paraId="1BB57A82" w14:textId="507F490C" w:rsidR="004F70B0" w:rsidRPr="00EA6830" w:rsidRDefault="004F70B0" w:rsidP="00EA04F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The provincial governments provided different information on the accessibility of their election information:</w:t>
            </w:r>
            <w:r>
              <w:rPr>
                <w:rFonts w:ascii="Verdana" w:eastAsia="Calibri" w:hAnsi="Verdana" w:cs="Times New Roman"/>
                <w:sz w:val="20"/>
                <w:szCs w:val="20"/>
              </w:rPr>
              <w:t xml:space="preserve"> </w:t>
            </w:r>
            <w:r w:rsidRPr="00EA6830">
              <w:rPr>
                <w:rFonts w:ascii="Verdana" w:eastAsia="Calibri" w:hAnsi="Verdana" w:cs="Times New Roman"/>
                <w:sz w:val="20"/>
                <w:szCs w:val="20"/>
              </w:rPr>
              <w:t>The websites on elections by the provinces of Vorarlberg, do not meet WCAG 2.0 accessibility standards.</w:t>
            </w:r>
            <w:r w:rsidRPr="00EA6830">
              <w:rPr>
                <w:rStyle w:val="FootnoteReference"/>
                <w:rFonts w:ascii="Verdana" w:eastAsia="Calibri" w:hAnsi="Verdana" w:cs="Times New Roman"/>
                <w:sz w:val="20"/>
                <w:szCs w:val="20"/>
              </w:rPr>
              <w:footnoteReference w:id="60"/>
            </w:r>
            <w:r w:rsidRPr="00EA6830">
              <w:rPr>
                <w:rFonts w:ascii="Verdana" w:eastAsia="Calibri" w:hAnsi="Verdana" w:cs="Times New Roman"/>
                <w:sz w:val="20"/>
                <w:szCs w:val="20"/>
              </w:rPr>
              <w:t xml:space="preserve"> The websites of the provinces Styria, Tyrol, Vienna, Salzburg do.</w:t>
            </w:r>
            <w:r w:rsidRPr="00EA6830">
              <w:rPr>
                <w:rStyle w:val="FootnoteReference"/>
                <w:rFonts w:ascii="Verdana" w:eastAsia="Calibri" w:hAnsi="Verdana" w:cs="Times New Roman"/>
                <w:sz w:val="20"/>
                <w:szCs w:val="20"/>
              </w:rPr>
              <w:footnoteReference w:id="61"/>
            </w:r>
          </w:p>
          <w:p w14:paraId="1C299B4E" w14:textId="77777777" w:rsidR="004F70B0" w:rsidRPr="00EA6830" w:rsidRDefault="004F70B0" w:rsidP="00EA04F8">
            <w:pPr>
              <w:spacing w:before="240"/>
              <w:contextualSpacing/>
              <w:rPr>
                <w:rFonts w:ascii="Verdana" w:eastAsia="Calibri" w:hAnsi="Verdana" w:cs="Times New Roman"/>
                <w:sz w:val="20"/>
                <w:szCs w:val="20"/>
              </w:rPr>
            </w:pPr>
          </w:p>
          <w:p w14:paraId="0337BD28" w14:textId="576A7524" w:rsidR="004F70B0" w:rsidRPr="00EA6830" w:rsidRDefault="004F70B0" w:rsidP="00EA04F8">
            <w:pPr>
              <w:spacing w:before="240"/>
              <w:contextualSpacing/>
              <w:rPr>
                <w:rFonts w:ascii="Verdana" w:hAnsi="Verdana"/>
                <w:sz w:val="20"/>
                <w:szCs w:val="20"/>
              </w:rPr>
            </w:pPr>
            <w:r w:rsidRPr="00EA6830">
              <w:rPr>
                <w:rFonts w:ascii="Verdana" w:hAnsi="Verdana"/>
                <w:sz w:val="20"/>
                <w:szCs w:val="20"/>
              </w:rPr>
              <w:t>The National Action Plan on Disability 2012 – 2020 foresees “accessible adult education on political and public life and information in easy to read versions” for all Federal Ministr</w:t>
            </w:r>
            <w:r>
              <w:rPr>
                <w:rFonts w:ascii="Verdana" w:hAnsi="Verdana"/>
                <w:sz w:val="20"/>
                <w:szCs w:val="20"/>
              </w:rPr>
              <w:t>ies and provinces in Measure</w:t>
            </w:r>
            <w:r w:rsidRPr="00EA6830">
              <w:rPr>
                <w:rFonts w:ascii="Verdana" w:hAnsi="Verdana"/>
                <w:sz w:val="20"/>
                <w:szCs w:val="20"/>
              </w:rPr>
              <w:t xml:space="preserve"> 189.</w:t>
            </w:r>
            <w:r w:rsidRPr="00EA6830">
              <w:rPr>
                <w:rStyle w:val="FootnoteReference"/>
                <w:rFonts w:ascii="Verdana" w:hAnsi="Verdana"/>
                <w:sz w:val="20"/>
                <w:szCs w:val="20"/>
              </w:rPr>
              <w:footnoteReference w:id="62"/>
            </w:r>
          </w:p>
          <w:p w14:paraId="7F6EA37B" w14:textId="31AD38CC" w:rsidR="004F70B0" w:rsidRPr="00EA6830" w:rsidRDefault="004F70B0" w:rsidP="00933DB5">
            <w:pPr>
              <w:tabs>
                <w:tab w:val="left" w:pos="3242"/>
              </w:tabs>
              <w:jc w:val="both"/>
              <w:rPr>
                <w:rFonts w:ascii="Verdana" w:eastAsia="Calibri" w:hAnsi="Verdana" w:cs="Times New Roman"/>
                <w:sz w:val="20"/>
                <w:szCs w:val="20"/>
                <w:lang w:bidi="en-US"/>
              </w:rPr>
            </w:pPr>
            <w:r w:rsidRPr="00EA6830">
              <w:rPr>
                <w:rFonts w:ascii="Verdana" w:hAnsi="Verdana"/>
                <w:sz w:val="20"/>
                <w:szCs w:val="20"/>
              </w:rPr>
              <w:t>Furthermore “the offering of information about the participation in elections in accessible and (as far as possible) understandable form, in printed and electronic version” should be realised by the Federal Ministry of Interi</w:t>
            </w:r>
            <w:r>
              <w:rPr>
                <w:rFonts w:ascii="Verdana" w:hAnsi="Verdana"/>
                <w:sz w:val="20"/>
                <w:szCs w:val="20"/>
              </w:rPr>
              <w:t>or (NAP on Disability, Measure</w:t>
            </w:r>
            <w:r w:rsidRPr="00EA6830">
              <w:rPr>
                <w:rFonts w:ascii="Verdana" w:hAnsi="Verdana"/>
                <w:sz w:val="20"/>
                <w:szCs w:val="20"/>
              </w:rPr>
              <w:t xml:space="preserve"> 190).</w:t>
            </w:r>
          </w:p>
        </w:tc>
      </w:tr>
      <w:tr w:rsidR="004F70B0" w:rsidRPr="00EA6830" w14:paraId="7F6EA386" w14:textId="77777777" w:rsidTr="004F70B0">
        <w:trPr>
          <w:trHeight w:val="454"/>
        </w:trPr>
        <w:tc>
          <w:tcPr>
            <w:tcW w:w="2063" w:type="pct"/>
            <w:shd w:val="clear" w:color="auto" w:fill="auto"/>
            <w:vAlign w:val="center"/>
          </w:tcPr>
          <w:p w14:paraId="7F6EA37E" w14:textId="77777777" w:rsidR="004F70B0" w:rsidRPr="00EA6830" w:rsidRDefault="004F70B0" w:rsidP="00E242F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national language subtitles?</w:t>
            </w:r>
          </w:p>
        </w:tc>
        <w:tc>
          <w:tcPr>
            <w:tcW w:w="2937" w:type="pct"/>
            <w:vAlign w:val="center"/>
          </w:tcPr>
          <w:p w14:paraId="7F6EA382" w14:textId="4CA9FCBC"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The Austrian public broadcasting company ORF provides 63,01% of its political information broadcasts with national language subtitles. Political information broadcasts which are subtitled are daily newscasts and weekly broadcasted political information programs.</w:t>
            </w:r>
            <w:r w:rsidRPr="00EA6830">
              <w:rPr>
                <w:rStyle w:val="FootnoteReference"/>
                <w:rFonts w:ascii="Verdana" w:eastAsia="Calibri" w:hAnsi="Verdana" w:cs="Times New Roman"/>
                <w:sz w:val="20"/>
                <w:szCs w:val="20"/>
                <w:lang w:val="en-US"/>
              </w:rPr>
              <w:footnoteReference w:id="63"/>
            </w:r>
          </w:p>
          <w:p w14:paraId="7F6EA383" w14:textId="77777777" w:rsidR="004F70B0" w:rsidRPr="00EA6830" w:rsidRDefault="004F70B0" w:rsidP="0081459C">
            <w:pPr>
              <w:spacing w:before="240"/>
              <w:contextualSpacing/>
              <w:rPr>
                <w:rFonts w:ascii="Verdana" w:eastAsia="Calibri" w:hAnsi="Verdana" w:cs="Times New Roman"/>
                <w:sz w:val="20"/>
                <w:szCs w:val="20"/>
                <w:lang w:val="en-US"/>
              </w:rPr>
            </w:pPr>
          </w:p>
          <w:p w14:paraId="7F6EA385" w14:textId="0AC05473"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 xml:space="preserve">The Austrian private television broadcasting company ATV provides no national language subtitles at all. In the private broadcaster’s view, these </w:t>
            </w:r>
            <w:r w:rsidRPr="00EA6830">
              <w:rPr>
                <w:rFonts w:ascii="Verdana" w:eastAsia="Calibri" w:hAnsi="Verdana" w:cs="Times New Roman"/>
                <w:sz w:val="20"/>
                <w:szCs w:val="20"/>
                <w:lang w:val="en-US"/>
              </w:rPr>
              <w:lastRenderedPageBreak/>
              <w:t>measures are not affordable and can be seen as duty of the public broadcasting company ORF</w:t>
            </w:r>
            <w:r w:rsidRPr="00EA6830">
              <w:rPr>
                <w:rStyle w:val="FootnoteReference"/>
                <w:rFonts w:ascii="Verdana" w:eastAsia="Calibri" w:hAnsi="Verdana" w:cs="Times New Roman"/>
                <w:sz w:val="20"/>
                <w:szCs w:val="20"/>
                <w:lang w:val="en-US"/>
              </w:rPr>
              <w:footnoteReference w:id="64"/>
            </w:r>
            <w:r w:rsidRPr="00EA6830">
              <w:rPr>
                <w:rFonts w:ascii="Verdana" w:eastAsia="Calibri" w:hAnsi="Verdana" w:cs="Times New Roman"/>
                <w:sz w:val="20"/>
                <w:szCs w:val="20"/>
                <w:lang w:val="en-US"/>
              </w:rPr>
              <w:t>.</w:t>
            </w:r>
          </w:p>
        </w:tc>
      </w:tr>
      <w:tr w:rsidR="004F70B0" w:rsidRPr="00EA6830" w14:paraId="7F6EA38F" w14:textId="77777777" w:rsidTr="004F70B0">
        <w:trPr>
          <w:trHeight w:val="454"/>
        </w:trPr>
        <w:tc>
          <w:tcPr>
            <w:tcW w:w="2063" w:type="pct"/>
            <w:shd w:val="clear" w:color="auto" w:fill="auto"/>
            <w:vAlign w:val="center"/>
          </w:tcPr>
          <w:p w14:paraId="7F6EA388" w14:textId="77777777" w:rsidR="004F70B0" w:rsidRPr="00EA6830" w:rsidRDefault="004F70B0" w:rsidP="00E242F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audio description?</w:t>
            </w:r>
          </w:p>
        </w:tc>
        <w:tc>
          <w:tcPr>
            <w:tcW w:w="2937" w:type="pct"/>
            <w:vAlign w:val="center"/>
          </w:tcPr>
          <w:p w14:paraId="7F6EA38B" w14:textId="77777777" w:rsidR="004F70B0" w:rsidRPr="00EA6830" w:rsidRDefault="004F70B0" w:rsidP="00B33445">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0% of the political information broadcasts of the Austrian broadcasting company ORF have audio description. The Department Humanitarian Broadcasting explains that political information broadcasts base on a high density of words. Therefore it would not be possible to include audio description in between. Since the communication of information is based on the spoken word it might be understandable for blind and visually impaired persons.</w:t>
            </w:r>
            <w:r w:rsidRPr="00EA6830">
              <w:rPr>
                <w:rStyle w:val="FootnoteReference"/>
                <w:rFonts w:ascii="Verdana" w:eastAsia="Calibri" w:hAnsi="Verdana" w:cs="Times New Roman"/>
                <w:sz w:val="20"/>
                <w:szCs w:val="20"/>
                <w:lang w:val="en-US"/>
              </w:rPr>
              <w:footnoteReference w:id="65"/>
            </w:r>
          </w:p>
          <w:p w14:paraId="7F6EA38C" w14:textId="77777777" w:rsidR="004F70B0" w:rsidRPr="00EA6830" w:rsidRDefault="004F70B0" w:rsidP="00B33445">
            <w:pPr>
              <w:spacing w:before="240"/>
              <w:contextualSpacing/>
              <w:rPr>
                <w:rFonts w:ascii="Verdana" w:eastAsia="Calibri" w:hAnsi="Verdana" w:cs="Times New Roman"/>
                <w:sz w:val="20"/>
                <w:szCs w:val="20"/>
                <w:lang w:val="en-US"/>
              </w:rPr>
            </w:pPr>
          </w:p>
          <w:p w14:paraId="7F6EA38E" w14:textId="3FB7D703"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The Austrian private television broadcasting company ATV provides no audio description at all. According to the information given by a staff member these measures are not affordable and can be seen as duty of the public broadcasting company ORF.</w:t>
            </w:r>
            <w:r w:rsidRPr="00EA6830">
              <w:rPr>
                <w:rStyle w:val="FootnoteReference"/>
                <w:rFonts w:ascii="Verdana" w:eastAsia="Calibri" w:hAnsi="Verdana" w:cs="Times New Roman"/>
                <w:sz w:val="20"/>
                <w:szCs w:val="20"/>
                <w:lang w:val="en-US"/>
              </w:rPr>
              <w:footnoteReference w:id="66"/>
            </w:r>
          </w:p>
        </w:tc>
      </w:tr>
      <w:tr w:rsidR="004F70B0" w:rsidRPr="00EA6830" w14:paraId="7F6EA399" w14:textId="77777777" w:rsidTr="004F70B0">
        <w:trPr>
          <w:trHeight w:val="454"/>
        </w:trPr>
        <w:tc>
          <w:tcPr>
            <w:tcW w:w="2063" w:type="pct"/>
            <w:shd w:val="clear" w:color="auto" w:fill="auto"/>
            <w:vAlign w:val="center"/>
          </w:tcPr>
          <w:p w14:paraId="7F6EA391" w14:textId="77777777" w:rsidR="004F70B0" w:rsidRPr="00EA6830" w:rsidRDefault="004F70B0" w:rsidP="00E242F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What proportion of main public and/or private television broadcasts providing instructions for voting and information on candidates has sign language interpretation?</w:t>
            </w:r>
          </w:p>
        </w:tc>
        <w:tc>
          <w:tcPr>
            <w:tcW w:w="2937" w:type="pct"/>
            <w:vAlign w:val="center"/>
          </w:tcPr>
          <w:p w14:paraId="7F6EA394" w14:textId="64BE2868"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8,38% of the political information broadcasts by the Austrian broadcasting company ORF have national sign language interpretation. The main newscast at 19:30 on ORF 2 can be received via satellite on ORF2-Europe with sign language interpretation as well as the broadcasted meetings of the National Assembly of the Austrian Parliament.</w:t>
            </w:r>
            <w:r w:rsidRPr="00EA6830">
              <w:rPr>
                <w:rStyle w:val="FootnoteReference"/>
                <w:rFonts w:ascii="Verdana" w:eastAsia="Calibri" w:hAnsi="Verdana" w:cs="Times New Roman"/>
                <w:sz w:val="20"/>
                <w:szCs w:val="20"/>
                <w:lang w:val="en-US"/>
              </w:rPr>
              <w:footnoteReference w:id="67"/>
            </w:r>
          </w:p>
          <w:p w14:paraId="7F6EA395" w14:textId="77777777" w:rsidR="004F70B0" w:rsidRPr="00EA6830" w:rsidRDefault="004F70B0" w:rsidP="0081459C">
            <w:pPr>
              <w:spacing w:before="240"/>
              <w:contextualSpacing/>
              <w:rPr>
                <w:rFonts w:ascii="Verdana" w:eastAsia="Calibri" w:hAnsi="Verdana" w:cs="Times New Roman"/>
                <w:sz w:val="20"/>
                <w:szCs w:val="20"/>
                <w:lang w:val="en-US"/>
              </w:rPr>
            </w:pPr>
          </w:p>
          <w:p w14:paraId="7F6EA398" w14:textId="3E222A26"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imes New Roman"/>
                <w:sz w:val="20"/>
                <w:szCs w:val="20"/>
                <w:lang w:val="en-US"/>
              </w:rPr>
              <w:t>The Austrian private television broadcasting company ATV provides no sign language interpretation at all.</w:t>
            </w:r>
            <w:r w:rsidRPr="00EA6830" w:rsidDel="002B60A8">
              <w:rPr>
                <w:rStyle w:val="FootnoteReference"/>
                <w:rFonts w:ascii="Verdana" w:eastAsia="Calibri" w:hAnsi="Verdana" w:cs="Times New Roman"/>
                <w:sz w:val="20"/>
                <w:szCs w:val="20"/>
                <w:lang w:val="en-US"/>
              </w:rPr>
              <w:t xml:space="preserve"> </w:t>
            </w:r>
            <w:r w:rsidRPr="00EA6830">
              <w:rPr>
                <w:rStyle w:val="FootnoteReference"/>
                <w:rFonts w:ascii="Verdana" w:eastAsia="Calibri" w:hAnsi="Verdana" w:cs="Times New Roman"/>
                <w:sz w:val="20"/>
                <w:szCs w:val="20"/>
                <w:lang w:val="en-US"/>
              </w:rPr>
              <w:footnoteReference w:id="68"/>
            </w:r>
            <w:r w:rsidRPr="00EA6830">
              <w:rPr>
                <w:rFonts w:ascii="Verdana" w:eastAsia="Calibri" w:hAnsi="Verdana" w:cs="Times New Roman"/>
                <w:sz w:val="20"/>
                <w:szCs w:val="20"/>
                <w:lang w:val="en-US"/>
              </w:rPr>
              <w:t xml:space="preserve"> </w:t>
            </w:r>
          </w:p>
        </w:tc>
      </w:tr>
      <w:tr w:rsidR="004F70B0" w:rsidRPr="00EA6830" w14:paraId="7F6EA39F" w14:textId="77777777" w:rsidTr="004F70B0">
        <w:trPr>
          <w:trHeight w:val="454"/>
        </w:trPr>
        <w:tc>
          <w:tcPr>
            <w:tcW w:w="2063" w:type="pct"/>
            <w:shd w:val="clear" w:color="auto" w:fill="auto"/>
            <w:vAlign w:val="center"/>
          </w:tcPr>
          <w:p w14:paraId="7F6EA39B" w14:textId="77777777" w:rsidR="004F70B0" w:rsidRPr="00EA6830" w:rsidRDefault="004F70B0" w:rsidP="00255A55">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 xml:space="preserve">How many political parties, out of the total who participated in the most recent European </w:t>
            </w:r>
            <w:r w:rsidRPr="00EA6830">
              <w:rPr>
                <w:rFonts w:ascii="Verdana" w:eastAsia="Calibri" w:hAnsi="Verdana" w:cs="Times New Roman"/>
                <w:sz w:val="20"/>
                <w:szCs w:val="20"/>
                <w:lang w:val="en-GB"/>
              </w:rPr>
              <w:lastRenderedPageBreak/>
              <w:t>Parliament and municipal elections, made their manifesto/campaign material accessible to persons with disabilities (e.g. large print, braille, easy-to-read, audio versions etc)?</w:t>
            </w:r>
          </w:p>
        </w:tc>
        <w:tc>
          <w:tcPr>
            <w:tcW w:w="2937" w:type="pct"/>
            <w:vAlign w:val="center"/>
          </w:tcPr>
          <w:p w14:paraId="7F6EA39D" w14:textId="77777777" w:rsidR="004F70B0" w:rsidRPr="00EA6830" w:rsidRDefault="004F70B0" w:rsidP="0081459C">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 xml:space="preserve">The web campaign material of the Austrian green Party of the European Parliament Elections 2009 met the WACG 2.0 standards. The printed </w:t>
            </w:r>
            <w:r w:rsidRPr="00EA6830">
              <w:rPr>
                <w:rFonts w:ascii="Verdana" w:eastAsia="Calibri" w:hAnsi="Verdana" w:cs="Times New Roman"/>
                <w:sz w:val="20"/>
                <w:szCs w:val="20"/>
                <w:lang w:val="en-GB"/>
              </w:rPr>
              <w:lastRenderedPageBreak/>
              <w:t>election campaign material was not accessible for persons with disabilities.</w:t>
            </w:r>
            <w:r w:rsidRPr="00EA6830">
              <w:rPr>
                <w:rStyle w:val="FootnoteReference"/>
                <w:rFonts w:ascii="Verdana" w:eastAsia="Calibri" w:hAnsi="Verdana" w:cs="Times New Roman"/>
                <w:sz w:val="20"/>
                <w:szCs w:val="20"/>
                <w:lang w:val="en-GB"/>
              </w:rPr>
              <w:footnoteReference w:id="69"/>
            </w:r>
          </w:p>
          <w:p w14:paraId="7F6EA39E" w14:textId="076A5BA3" w:rsidR="004F70B0" w:rsidRPr="00EA6830" w:rsidRDefault="004F70B0" w:rsidP="00675B69">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t>The SPÖ replied that its website fulfils the Standards of the World Wide Web Consortium for barrier-free web content, and that for the European Parliament Elections, the election programme and further information were provided on the website. They could not provide information regarding municipal elections, as the municipal representatives of the party have a high degree of autonomy and there is no possibility to provide general information</w:t>
            </w:r>
            <w:r w:rsidRPr="00EA6830">
              <w:rPr>
                <w:rStyle w:val="FootnoteReference"/>
                <w:rFonts w:ascii="Verdana" w:eastAsia="Calibri" w:hAnsi="Verdana" w:cs="Times New Roman"/>
                <w:sz w:val="20"/>
                <w:szCs w:val="20"/>
                <w:lang w:val="en-GB"/>
              </w:rPr>
              <w:footnoteReference w:id="70"/>
            </w:r>
            <w:r w:rsidRPr="00EA6830">
              <w:rPr>
                <w:rFonts w:ascii="Verdana" w:eastAsia="Calibri" w:hAnsi="Verdana" w:cs="Times New Roman"/>
                <w:sz w:val="20"/>
                <w:szCs w:val="20"/>
                <w:lang w:val="en-GB"/>
              </w:rPr>
              <w:t>.</w:t>
            </w:r>
          </w:p>
        </w:tc>
      </w:tr>
      <w:tr w:rsidR="004F70B0" w:rsidRPr="00EA6830" w14:paraId="7F6EA3A7" w14:textId="77777777" w:rsidTr="004F70B0">
        <w:trPr>
          <w:trHeight w:val="454"/>
        </w:trPr>
        <w:tc>
          <w:tcPr>
            <w:tcW w:w="2063" w:type="pct"/>
            <w:shd w:val="clear" w:color="auto" w:fill="auto"/>
            <w:vAlign w:val="center"/>
          </w:tcPr>
          <w:p w14:paraId="7F6EA3A1" w14:textId="77777777" w:rsidR="004F70B0" w:rsidRPr="00EA6830" w:rsidRDefault="004F70B0" w:rsidP="00E242F0">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What proportion of public authority national and municipal buildings is accessible to persons with disabilities?</w:t>
            </w:r>
          </w:p>
        </w:tc>
        <w:tc>
          <w:tcPr>
            <w:tcW w:w="2937" w:type="pct"/>
          </w:tcPr>
          <w:p w14:paraId="536ED285" w14:textId="227EFC3D" w:rsidR="004F70B0" w:rsidRPr="00EA6830" w:rsidRDefault="004F70B0" w:rsidP="00EA04F8">
            <w:pPr>
              <w:spacing w:before="240"/>
              <w:contextualSpacing/>
              <w:rPr>
                <w:rFonts w:ascii="Verdana" w:eastAsia="Calibri" w:hAnsi="Verdana" w:cstheme="minorHAnsi"/>
                <w:sz w:val="20"/>
                <w:szCs w:val="20"/>
                <w:lang w:val="en-GB"/>
              </w:rPr>
            </w:pPr>
            <w:r w:rsidRPr="00EA6830">
              <w:rPr>
                <w:rFonts w:ascii="Verdana" w:eastAsia="Calibri" w:hAnsi="Verdana" w:cstheme="minorHAnsi"/>
                <w:sz w:val="20"/>
                <w:szCs w:val="20"/>
                <w:lang w:val="en-GB"/>
              </w:rPr>
              <w:t>The Federal Disability Equality Act regulates that public services must be accessible for persons with disabilities. However, the Federal Act does not provide standards on how to implement an accessible environment</w:t>
            </w:r>
            <w:r w:rsidRPr="00EA6830">
              <w:rPr>
                <w:rStyle w:val="FootnoteReference"/>
                <w:rFonts w:ascii="Verdana" w:eastAsia="Calibri" w:hAnsi="Verdana" w:cstheme="minorHAnsi"/>
                <w:sz w:val="20"/>
                <w:szCs w:val="20"/>
                <w:lang w:val="en-GB"/>
              </w:rPr>
              <w:footnoteReference w:id="71"/>
            </w:r>
            <w:r w:rsidRPr="00EA6830">
              <w:rPr>
                <w:rFonts w:ascii="Verdana" w:eastAsia="Calibri" w:hAnsi="Verdana" w:cstheme="minorHAnsi"/>
                <w:sz w:val="20"/>
                <w:szCs w:val="20"/>
                <w:lang w:val="en-GB"/>
              </w:rPr>
              <w:t>.</w:t>
            </w:r>
          </w:p>
          <w:p w14:paraId="7C9F8460" w14:textId="77777777" w:rsidR="004F70B0" w:rsidRPr="00EA6830" w:rsidRDefault="004F70B0" w:rsidP="00EA04F8">
            <w:pPr>
              <w:spacing w:before="240"/>
              <w:contextualSpacing/>
              <w:rPr>
                <w:rFonts w:ascii="Verdana" w:eastAsia="Calibri" w:hAnsi="Verdana" w:cstheme="minorHAnsi"/>
                <w:sz w:val="20"/>
                <w:szCs w:val="20"/>
                <w:lang w:val="en-GB"/>
              </w:rPr>
            </w:pPr>
          </w:p>
          <w:p w14:paraId="70A11C4F" w14:textId="279EA05D" w:rsidR="004F70B0" w:rsidRPr="00EA6830" w:rsidRDefault="004F70B0" w:rsidP="00EA04F8">
            <w:pPr>
              <w:spacing w:before="240"/>
              <w:contextualSpacing/>
              <w:rPr>
                <w:rFonts w:ascii="Verdana" w:eastAsia="Calibri" w:hAnsi="Verdana" w:cstheme="minorHAnsi"/>
                <w:sz w:val="20"/>
                <w:szCs w:val="20"/>
                <w:lang w:val="en-GB"/>
              </w:rPr>
            </w:pPr>
            <w:r w:rsidRPr="00EA6830">
              <w:rPr>
                <w:rFonts w:ascii="Verdana" w:eastAsia="Calibri" w:hAnsi="Verdana" w:cstheme="minorHAnsi"/>
                <w:sz w:val="20"/>
                <w:szCs w:val="20"/>
                <w:lang w:val="en-GB"/>
              </w:rPr>
              <w:t>The ÖNORM B 1600 on barrier free building is the main guide line. Based on it a new ÖNORM B 1610on accessibility criteria for existent buildings is being drawn up. Further ÖNORM provisions on accessibility are e.g. ÖNORM A 3011 on graphic symbols for information of the public (</w:t>
            </w:r>
            <w:r w:rsidRPr="00EA6830">
              <w:rPr>
                <w:rFonts w:ascii="Verdana" w:eastAsia="Calibri" w:hAnsi="Verdana" w:cstheme="minorHAnsi"/>
                <w:i/>
                <w:sz w:val="20"/>
                <w:szCs w:val="20"/>
                <w:lang w:val="en-GB"/>
              </w:rPr>
              <w:t>Grafische Symbole für die Öffentlichkeitsinformation</w:t>
            </w:r>
            <w:r w:rsidRPr="00EA6830">
              <w:rPr>
                <w:rFonts w:ascii="Verdana" w:eastAsia="Calibri" w:hAnsi="Verdana" w:cstheme="minorHAnsi"/>
                <w:sz w:val="20"/>
                <w:szCs w:val="20"/>
                <w:lang w:val="en-GB"/>
              </w:rPr>
              <w:t>)</w:t>
            </w:r>
            <w:r w:rsidRPr="00EA6830">
              <w:rPr>
                <w:rFonts w:ascii="Verdana" w:hAnsi="Verdana" w:cstheme="minorHAnsi"/>
                <w:color w:val="000000"/>
                <w:sz w:val="20"/>
                <w:szCs w:val="20"/>
                <w:shd w:val="clear" w:color="auto" w:fill="FFFFFF"/>
              </w:rPr>
              <w:t xml:space="preserve"> </w:t>
            </w:r>
            <w:r w:rsidRPr="00EA6830">
              <w:rPr>
                <w:rFonts w:ascii="Verdana" w:eastAsia="Calibri" w:hAnsi="Verdana" w:cstheme="minorHAnsi"/>
                <w:sz w:val="20"/>
                <w:szCs w:val="20"/>
                <w:lang w:val="en-GB"/>
              </w:rPr>
              <w:t>or ÖNORM A 3012 on visual guidance systems for information of the public (</w:t>
            </w:r>
            <w:r w:rsidRPr="00EA6830">
              <w:rPr>
                <w:rFonts w:ascii="Verdana" w:eastAsia="Calibri" w:hAnsi="Verdana" w:cstheme="minorHAnsi"/>
                <w:i/>
                <w:sz w:val="20"/>
                <w:szCs w:val="20"/>
              </w:rPr>
              <w:t>Visuelle Leitsysteme für die Öffentlichkeitsinformation</w:t>
            </w:r>
            <w:r w:rsidRPr="00EA6830">
              <w:rPr>
                <w:rFonts w:ascii="Verdana" w:eastAsia="Calibri" w:hAnsi="Verdana" w:cstheme="minorHAnsi"/>
                <w:sz w:val="20"/>
                <w:szCs w:val="20"/>
              </w:rPr>
              <w:t>)</w:t>
            </w:r>
            <w:r w:rsidRPr="00EA6830">
              <w:rPr>
                <w:rFonts w:ascii="Verdana" w:eastAsia="Calibri" w:hAnsi="Verdana" w:cstheme="minorHAnsi"/>
                <w:sz w:val="20"/>
                <w:szCs w:val="20"/>
                <w:lang w:val="en-GB"/>
              </w:rPr>
              <w:t>.</w:t>
            </w:r>
            <w:r w:rsidRPr="00EA6830">
              <w:rPr>
                <w:rStyle w:val="FootnoteReference"/>
                <w:rFonts w:ascii="Verdana" w:eastAsia="Calibri" w:hAnsi="Verdana" w:cstheme="minorHAnsi"/>
                <w:sz w:val="20"/>
                <w:szCs w:val="20"/>
                <w:lang w:val="en-GB"/>
              </w:rPr>
              <w:footnoteReference w:id="72"/>
            </w:r>
            <w:r w:rsidRPr="00EA6830">
              <w:rPr>
                <w:rFonts w:ascii="Verdana" w:eastAsia="Calibri" w:hAnsi="Verdana" w:cstheme="minorHAnsi"/>
                <w:sz w:val="20"/>
                <w:szCs w:val="20"/>
                <w:lang w:val="en-GB"/>
              </w:rPr>
              <w:t xml:space="preserve"> </w:t>
            </w:r>
          </w:p>
          <w:p w14:paraId="345F7D3F" w14:textId="77777777" w:rsidR="004F70B0" w:rsidRPr="00EA6830" w:rsidRDefault="004F70B0" w:rsidP="00EA04F8">
            <w:pPr>
              <w:spacing w:before="240"/>
              <w:contextualSpacing/>
              <w:rPr>
                <w:rFonts w:ascii="Verdana" w:eastAsia="Calibri" w:hAnsi="Verdana" w:cstheme="minorHAnsi"/>
                <w:sz w:val="20"/>
                <w:szCs w:val="20"/>
                <w:lang w:val="en-GB"/>
              </w:rPr>
            </w:pPr>
          </w:p>
          <w:p w14:paraId="22013DEF" w14:textId="67E5E5D5" w:rsidR="004F70B0" w:rsidRPr="00EA6830" w:rsidRDefault="004F70B0" w:rsidP="003D2432">
            <w:pPr>
              <w:spacing w:before="240"/>
              <w:contextualSpacing/>
              <w:rPr>
                <w:rFonts w:ascii="Verdana" w:eastAsia="Calibri" w:hAnsi="Verdana" w:cstheme="minorHAnsi"/>
                <w:sz w:val="20"/>
                <w:szCs w:val="20"/>
                <w:lang w:val="en-GB"/>
              </w:rPr>
            </w:pPr>
            <w:r w:rsidRPr="00EA6830">
              <w:rPr>
                <w:rFonts w:ascii="Verdana" w:eastAsia="Calibri" w:hAnsi="Verdana" w:cstheme="minorHAnsi"/>
                <w:sz w:val="20"/>
                <w:szCs w:val="20"/>
                <w:lang w:val="en-GB"/>
              </w:rPr>
              <w:t>There is a staged plan for buildings of the federal government which foresees accessibility of public buildings by the end of 2015, at the latest by the end of 2019 (§ 8 (2) BGStG).</w:t>
            </w:r>
            <w:r w:rsidRPr="00EA6830">
              <w:rPr>
                <w:rFonts w:ascii="Verdana" w:hAnsi="Verdana"/>
                <w:sz w:val="20"/>
                <w:szCs w:val="20"/>
              </w:rPr>
              <w:t xml:space="preserve"> </w:t>
            </w:r>
            <w:r w:rsidRPr="00EA6830">
              <w:rPr>
                <w:rFonts w:ascii="Verdana" w:eastAsia="Calibri" w:hAnsi="Verdana" w:cstheme="minorHAnsi"/>
                <w:sz w:val="20"/>
                <w:szCs w:val="20"/>
                <w:lang w:val="en-GB"/>
              </w:rPr>
              <w:t>Staged plans that concern the accessibility of buildings of the Laender governments were also adopted in Tyrol and Vienna, where the transition period ends in 2042.</w:t>
            </w:r>
          </w:p>
          <w:p w14:paraId="4E54B06E" w14:textId="77777777" w:rsidR="004F70B0" w:rsidRPr="00EA6830" w:rsidRDefault="004F70B0" w:rsidP="00EA04F8">
            <w:pPr>
              <w:spacing w:before="240"/>
              <w:contextualSpacing/>
              <w:rPr>
                <w:rFonts w:ascii="Verdana" w:eastAsia="Calibri" w:hAnsi="Verdana" w:cstheme="minorHAnsi"/>
                <w:sz w:val="20"/>
                <w:szCs w:val="20"/>
                <w:lang w:val="en-GB"/>
              </w:rPr>
            </w:pPr>
          </w:p>
          <w:p w14:paraId="1DC95416" w14:textId="0B7AD9AB" w:rsidR="004F70B0" w:rsidRPr="00EA6830" w:rsidRDefault="004F70B0" w:rsidP="00EA04F8">
            <w:pPr>
              <w:spacing w:before="240"/>
              <w:contextualSpacing/>
              <w:rPr>
                <w:rFonts w:ascii="Verdana" w:eastAsia="Calibri" w:hAnsi="Verdana" w:cstheme="minorHAnsi"/>
                <w:sz w:val="20"/>
                <w:szCs w:val="20"/>
                <w:lang w:val="en-GB"/>
              </w:rPr>
            </w:pPr>
            <w:r w:rsidRPr="00EA6830">
              <w:rPr>
                <w:rFonts w:ascii="Verdana" w:eastAsia="Calibri" w:hAnsi="Verdana" w:cstheme="minorHAnsi"/>
                <w:sz w:val="20"/>
                <w:szCs w:val="20"/>
                <w:lang w:val="en-GB"/>
              </w:rPr>
              <w:t xml:space="preserve">Measure 110 of the National Action Plan on Disability 2012 – 2020 </w:t>
            </w:r>
            <w:r w:rsidRPr="00EA6830">
              <w:rPr>
                <w:rFonts w:ascii="Verdana" w:eastAsia="Calibri" w:hAnsi="Verdana" w:cstheme="minorHAnsi"/>
                <w:sz w:val="20"/>
                <w:szCs w:val="20"/>
                <w:lang w:val="en-GB"/>
              </w:rPr>
              <w:lastRenderedPageBreak/>
              <w:t>foresees that accessibility will be taken into account in the Board for Building Culture and in the Austrian Standards Institute. Measure  113 foresees that representatives of disabled persons’ organisations will be consulted in all major building projects subsidised by the Federation.</w:t>
            </w:r>
            <w:r w:rsidRPr="00EA6830">
              <w:rPr>
                <w:rStyle w:val="FootnoteReference"/>
                <w:rFonts w:ascii="Verdana" w:eastAsia="Calibri" w:hAnsi="Verdana" w:cstheme="minorHAnsi"/>
                <w:sz w:val="20"/>
                <w:szCs w:val="20"/>
                <w:lang w:val="en-GB"/>
              </w:rPr>
              <w:footnoteReference w:id="73"/>
            </w:r>
          </w:p>
          <w:p w14:paraId="02274109" w14:textId="77777777" w:rsidR="004F70B0" w:rsidRPr="00EA6830" w:rsidRDefault="004F70B0" w:rsidP="00EA04F8">
            <w:pPr>
              <w:spacing w:before="240"/>
              <w:contextualSpacing/>
              <w:rPr>
                <w:rFonts w:ascii="Verdana" w:eastAsia="Calibri" w:hAnsi="Verdana" w:cstheme="minorHAnsi"/>
                <w:sz w:val="20"/>
                <w:szCs w:val="20"/>
                <w:lang w:val="en-GB"/>
              </w:rPr>
            </w:pPr>
          </w:p>
          <w:p w14:paraId="7F6EA3A6" w14:textId="34C8531B" w:rsidR="004F70B0" w:rsidRPr="00EA6830" w:rsidRDefault="004F70B0" w:rsidP="00954079">
            <w:pPr>
              <w:spacing w:before="240"/>
              <w:contextualSpacing/>
              <w:rPr>
                <w:rFonts w:ascii="Verdana" w:eastAsia="Calibri" w:hAnsi="Verdana" w:cs="Times New Roman"/>
                <w:sz w:val="20"/>
                <w:szCs w:val="20"/>
                <w:lang w:val="en-GB"/>
              </w:rPr>
            </w:pPr>
            <w:r w:rsidRPr="00EA6830">
              <w:rPr>
                <w:rFonts w:ascii="Verdana" w:eastAsia="Calibri" w:hAnsi="Verdana" w:cstheme="minorHAnsi"/>
                <w:sz w:val="20"/>
                <w:szCs w:val="20"/>
                <w:lang w:val="en-GB"/>
              </w:rPr>
              <w:t>There was no data provided by the Austrian Association of Municipalities on the proportion of public authority and municipal buildings which are accessible to persons with disabilities.</w:t>
            </w:r>
            <w:r w:rsidRPr="00EA6830">
              <w:rPr>
                <w:rStyle w:val="FootnoteReference"/>
                <w:rFonts w:ascii="Verdana" w:eastAsia="Calibri" w:hAnsi="Verdana" w:cstheme="minorHAnsi"/>
                <w:sz w:val="20"/>
                <w:szCs w:val="20"/>
                <w:lang w:val="en-GB"/>
              </w:rPr>
              <w:footnoteReference w:id="74"/>
            </w:r>
          </w:p>
        </w:tc>
      </w:tr>
      <w:tr w:rsidR="004F70B0" w:rsidRPr="00EA6830" w14:paraId="7F6EA3AE" w14:textId="77777777" w:rsidTr="004F70B0">
        <w:trPr>
          <w:trHeight w:val="454"/>
        </w:trPr>
        <w:tc>
          <w:tcPr>
            <w:tcW w:w="2063" w:type="pct"/>
            <w:shd w:val="clear" w:color="auto" w:fill="auto"/>
            <w:vAlign w:val="center"/>
          </w:tcPr>
          <w:p w14:paraId="7F6EA3A9" w14:textId="54C9BE87" w:rsidR="004F70B0" w:rsidRPr="00EA6830" w:rsidRDefault="004F70B0" w:rsidP="0015706F">
            <w:pPr>
              <w:spacing w:before="240"/>
              <w:contextualSpacing/>
              <w:rPr>
                <w:rFonts w:ascii="Verdana" w:eastAsia="Calibri" w:hAnsi="Verdana" w:cs="Times New Roman"/>
                <w:sz w:val="20"/>
                <w:szCs w:val="20"/>
                <w:lang w:val="en-GB"/>
              </w:rPr>
            </w:pPr>
            <w:r w:rsidRPr="00EA6830">
              <w:rPr>
                <w:rFonts w:ascii="Verdana" w:eastAsia="Calibri" w:hAnsi="Verdana" w:cs="Times New Roman"/>
                <w:sz w:val="20"/>
                <w:szCs w:val="20"/>
                <w:lang w:val="en-GB"/>
              </w:rPr>
              <w:lastRenderedPageBreak/>
              <w:t>How many complaints related to infringements of the right to political participation of persons with disabilities were recorded in 2012? What</w:t>
            </w:r>
            <w:r>
              <w:rPr>
                <w:rFonts w:ascii="Verdana" w:eastAsia="Calibri" w:hAnsi="Verdana" w:cs="Times New Roman"/>
                <w:sz w:val="20"/>
                <w:szCs w:val="20"/>
                <w:lang w:val="en-GB"/>
              </w:rPr>
              <w:t xml:space="preserve"> proportion of these complaints </w:t>
            </w:r>
            <w:r w:rsidRPr="00EA6830">
              <w:rPr>
                <w:rFonts w:ascii="Verdana" w:eastAsia="Calibri" w:hAnsi="Verdana" w:cs="Times New Roman"/>
                <w:sz w:val="20"/>
                <w:szCs w:val="20"/>
                <w:lang w:val="en-GB"/>
              </w:rPr>
              <w:t>were successful?</w:t>
            </w:r>
            <w:r w:rsidRPr="00EA6830">
              <w:rPr>
                <w:rStyle w:val="FootnoteReference"/>
                <w:rFonts w:ascii="Verdana" w:eastAsia="Calibri" w:hAnsi="Verdana" w:cs="Times New Roman"/>
                <w:sz w:val="20"/>
                <w:szCs w:val="20"/>
                <w:lang w:val="en-GB"/>
              </w:rPr>
              <w:footnoteReference w:id="75"/>
            </w:r>
          </w:p>
        </w:tc>
        <w:tc>
          <w:tcPr>
            <w:tcW w:w="2937" w:type="pct"/>
          </w:tcPr>
          <w:p w14:paraId="5EE36929" w14:textId="77777777" w:rsidR="004F70B0" w:rsidRPr="00EA6830" w:rsidRDefault="004F70B0" w:rsidP="00EA04F8">
            <w:pPr>
              <w:spacing w:before="240"/>
              <w:contextualSpacing/>
              <w:rPr>
                <w:rFonts w:ascii="Verdana" w:eastAsia="Calibri" w:hAnsi="Verdana" w:cstheme="minorHAnsi"/>
                <w:sz w:val="20"/>
                <w:szCs w:val="20"/>
              </w:rPr>
            </w:pPr>
            <w:r w:rsidRPr="00EA6830">
              <w:rPr>
                <w:rFonts w:ascii="Verdana" w:eastAsia="Calibri" w:hAnsi="Verdana" w:cstheme="minorHAnsi"/>
                <w:sz w:val="20"/>
                <w:szCs w:val="20"/>
              </w:rPr>
              <w:t>As already mentioned in section 2.4 there were two conciliation procedures taking place because of constructional barriers when entering the polling station.</w:t>
            </w:r>
            <w:r w:rsidRPr="00EA6830">
              <w:rPr>
                <w:rFonts w:ascii="Verdana" w:eastAsia="Calibri" w:hAnsi="Verdana" w:cstheme="minorHAnsi"/>
                <w:sz w:val="20"/>
                <w:szCs w:val="20"/>
                <w:vertAlign w:val="superscript"/>
              </w:rPr>
              <w:footnoteReference w:id="76"/>
            </w:r>
            <w:r w:rsidRPr="00EA6830">
              <w:rPr>
                <w:rFonts w:ascii="Verdana" w:eastAsia="Calibri" w:hAnsi="Verdana" w:cstheme="minorHAnsi"/>
                <w:sz w:val="20"/>
                <w:szCs w:val="20"/>
              </w:rPr>
              <w:t xml:space="preserve"> </w:t>
            </w:r>
          </w:p>
          <w:p w14:paraId="7F6EA3AD" w14:textId="55463F4E" w:rsidR="004F70B0" w:rsidRPr="00EA6830" w:rsidRDefault="004F70B0" w:rsidP="0081459C">
            <w:pPr>
              <w:spacing w:before="240"/>
              <w:contextualSpacing/>
              <w:rPr>
                <w:rFonts w:ascii="Verdana" w:eastAsia="Calibri" w:hAnsi="Verdana" w:cs="Times New Roman"/>
                <w:sz w:val="20"/>
                <w:szCs w:val="20"/>
                <w:lang w:val="en-US"/>
              </w:rPr>
            </w:pPr>
            <w:r w:rsidRPr="00EA6830">
              <w:rPr>
                <w:rFonts w:ascii="Verdana" w:eastAsia="Calibri" w:hAnsi="Verdana" w:cstheme="minorHAnsi"/>
                <w:sz w:val="20"/>
                <w:szCs w:val="20"/>
              </w:rPr>
              <w:t>According to the Disability Ombudsman 2012 there were 3 complaints by persons with disabilities because of problems with the right of political participation which could get settled through intervention by the Ombudsman</w:t>
            </w:r>
            <w:r w:rsidRPr="00EA6830">
              <w:rPr>
                <w:rFonts w:ascii="Verdana" w:eastAsia="Calibri" w:hAnsi="Verdana" w:cstheme="minorHAnsi"/>
                <w:sz w:val="20"/>
                <w:szCs w:val="20"/>
                <w:vertAlign w:val="superscript"/>
              </w:rPr>
              <w:footnoteReference w:id="77"/>
            </w:r>
            <w:r w:rsidRPr="00EA6830">
              <w:rPr>
                <w:rFonts w:ascii="Verdana" w:eastAsia="Calibri" w:hAnsi="Verdana" w:cstheme="minorHAnsi"/>
                <w:sz w:val="20"/>
                <w:szCs w:val="20"/>
              </w:rPr>
              <w:t>. There was no further information regarding these complaints provided by the Ombudsman.</w:t>
            </w:r>
          </w:p>
        </w:tc>
      </w:tr>
    </w:tbl>
    <w:p w14:paraId="7F6EA3AF" w14:textId="77777777" w:rsidR="00EF7C2A" w:rsidRPr="00EA6830" w:rsidRDefault="00EF7C2A" w:rsidP="00912C69">
      <w:pPr>
        <w:spacing w:line="240" w:lineRule="auto"/>
        <w:contextualSpacing/>
        <w:jc w:val="both"/>
        <w:rPr>
          <w:rFonts w:ascii="Verdana" w:eastAsia="Calibri" w:hAnsi="Verdana" w:cs="Times New Roman"/>
          <w:b/>
          <w:sz w:val="20"/>
          <w:szCs w:val="20"/>
          <w:lang w:val="en-US"/>
        </w:rPr>
      </w:pPr>
    </w:p>
    <w:p w14:paraId="7F6EA3B0" w14:textId="77777777" w:rsidR="00472CFB" w:rsidRPr="00EA6830" w:rsidRDefault="00472CFB" w:rsidP="00912C69">
      <w:pPr>
        <w:spacing w:line="240" w:lineRule="auto"/>
        <w:contextualSpacing/>
        <w:jc w:val="both"/>
        <w:rPr>
          <w:rFonts w:ascii="Verdana" w:eastAsia="Calibri" w:hAnsi="Verdana" w:cs="Times New Roman"/>
          <w:b/>
          <w:sz w:val="20"/>
          <w:szCs w:val="20"/>
          <w:lang w:val="en-GB"/>
        </w:rPr>
      </w:pPr>
    </w:p>
    <w:p w14:paraId="7F6EA3B1" w14:textId="77777777" w:rsidR="00472CFB" w:rsidRPr="00EA6830" w:rsidRDefault="00472CFB" w:rsidP="00912C69">
      <w:pPr>
        <w:spacing w:line="240" w:lineRule="auto"/>
        <w:contextualSpacing/>
        <w:jc w:val="both"/>
        <w:rPr>
          <w:rFonts w:ascii="Verdana" w:eastAsia="Calibri" w:hAnsi="Verdana" w:cs="Times New Roman"/>
          <w:b/>
          <w:sz w:val="20"/>
          <w:szCs w:val="20"/>
          <w:lang w:val="en-GB"/>
        </w:rPr>
      </w:pPr>
    </w:p>
    <w:p w14:paraId="7F6EA3B2" w14:textId="77777777" w:rsidR="00472CFB" w:rsidRPr="00EA6830" w:rsidRDefault="00472CFB" w:rsidP="00912C69">
      <w:pPr>
        <w:spacing w:line="240" w:lineRule="auto"/>
        <w:contextualSpacing/>
        <w:jc w:val="both"/>
        <w:rPr>
          <w:rFonts w:ascii="Verdana" w:eastAsia="Calibri" w:hAnsi="Verdana" w:cs="Times New Roman"/>
          <w:b/>
          <w:sz w:val="20"/>
          <w:szCs w:val="20"/>
          <w:lang w:val="en-GB"/>
        </w:rPr>
      </w:pPr>
    </w:p>
    <w:p w14:paraId="2A003D1A" w14:textId="77777777" w:rsidR="004F70B0" w:rsidRDefault="004F70B0">
      <w:pPr>
        <w:rPr>
          <w:rFonts w:ascii="Verdana" w:eastAsia="Calibri" w:hAnsi="Verdana" w:cs="Times New Roman"/>
          <w:b/>
          <w:sz w:val="20"/>
          <w:szCs w:val="20"/>
          <w:lang w:val="en-GB"/>
        </w:rPr>
      </w:pPr>
      <w:r>
        <w:rPr>
          <w:rFonts w:ascii="Verdana" w:eastAsia="Calibri" w:hAnsi="Verdana" w:cs="Times New Roman"/>
          <w:b/>
          <w:sz w:val="20"/>
          <w:szCs w:val="20"/>
          <w:lang w:val="en-GB"/>
        </w:rPr>
        <w:br w:type="page"/>
      </w:r>
    </w:p>
    <w:p w14:paraId="7F6EA3EA" w14:textId="119E654C" w:rsidR="00306B8B" w:rsidRDefault="00912C69" w:rsidP="004F70B0">
      <w:pPr>
        <w:spacing w:line="240" w:lineRule="auto"/>
        <w:contextualSpacing/>
        <w:jc w:val="both"/>
        <w:rPr>
          <w:rFonts w:ascii="Verdana" w:eastAsia="Calibri" w:hAnsi="Verdana" w:cs="Times New Roman"/>
          <w:b/>
          <w:sz w:val="20"/>
          <w:szCs w:val="20"/>
          <w:lang w:val="en-GB"/>
        </w:rPr>
      </w:pPr>
      <w:r w:rsidRPr="00EA6830">
        <w:rPr>
          <w:rFonts w:ascii="Verdana" w:eastAsia="Calibri" w:hAnsi="Verdana" w:cs="Times New Roman"/>
          <w:b/>
          <w:sz w:val="20"/>
          <w:szCs w:val="20"/>
          <w:lang w:val="en-GB"/>
        </w:rPr>
        <w:lastRenderedPageBreak/>
        <w:t>ANNEX:</w:t>
      </w:r>
      <w:r w:rsidR="004F70B0">
        <w:rPr>
          <w:rFonts w:ascii="Verdana" w:eastAsia="Calibri" w:hAnsi="Verdana" w:cs="Times New Roman"/>
          <w:b/>
          <w:sz w:val="20"/>
          <w:szCs w:val="20"/>
          <w:lang w:val="en-GB"/>
        </w:rPr>
        <w:t xml:space="preserve"> </w:t>
      </w:r>
      <w:r w:rsidR="0049196D" w:rsidRPr="00EA6830">
        <w:rPr>
          <w:rFonts w:ascii="Verdana" w:eastAsia="Calibri" w:hAnsi="Verdana" w:cs="Times New Roman"/>
          <w:b/>
          <w:sz w:val="20"/>
          <w:szCs w:val="20"/>
          <w:lang w:val="en-GB"/>
        </w:rPr>
        <w:t xml:space="preserve">Table </w:t>
      </w:r>
      <w:r w:rsidR="00350847" w:rsidRPr="00EA6830">
        <w:rPr>
          <w:rFonts w:ascii="Verdana" w:eastAsia="Calibri" w:hAnsi="Verdana" w:cs="Times New Roman"/>
          <w:b/>
          <w:sz w:val="20"/>
          <w:szCs w:val="20"/>
          <w:lang w:val="en-GB"/>
        </w:rPr>
        <w:t>1</w:t>
      </w:r>
      <w:r w:rsidR="0049196D" w:rsidRPr="00EA6830">
        <w:rPr>
          <w:rFonts w:ascii="Verdana" w:eastAsia="Calibri" w:hAnsi="Verdana" w:cs="Times New Roman"/>
          <w:b/>
          <w:sz w:val="20"/>
          <w:szCs w:val="20"/>
          <w:lang w:val="en-GB"/>
        </w:rPr>
        <w:t xml:space="preserve">: </w:t>
      </w:r>
      <w:r w:rsidR="00415FD9" w:rsidRPr="00EA6830">
        <w:rPr>
          <w:rFonts w:ascii="Verdana" w:eastAsia="Calibri" w:hAnsi="Verdana" w:cs="Times New Roman"/>
          <w:b/>
          <w:sz w:val="20"/>
          <w:szCs w:val="20"/>
          <w:lang w:val="en-GB"/>
        </w:rPr>
        <w:t xml:space="preserve">Full Quotation of Municipal Election Acts </w:t>
      </w:r>
    </w:p>
    <w:p w14:paraId="6634C60A" w14:textId="77777777" w:rsidR="004F70B0" w:rsidRPr="00EA6830" w:rsidRDefault="004F70B0" w:rsidP="004F70B0">
      <w:pPr>
        <w:spacing w:line="240" w:lineRule="auto"/>
        <w:contextualSpacing/>
        <w:jc w:val="both"/>
        <w:rPr>
          <w:rFonts w:ascii="Verdana" w:eastAsia="Calibri" w:hAnsi="Verdana" w:cs="Times New Roman"/>
          <w:b/>
          <w:sz w:val="20"/>
          <w:szCs w:val="20"/>
          <w:lang w:val="en-GB"/>
        </w:rPr>
      </w:pPr>
    </w:p>
    <w:tbl>
      <w:tblPr>
        <w:tblStyle w:val="TableGrid"/>
        <w:tblW w:w="0" w:type="auto"/>
        <w:tblLayout w:type="fixed"/>
        <w:tblLook w:val="04A0" w:firstRow="1" w:lastRow="0" w:firstColumn="1" w:lastColumn="0" w:noHBand="0" w:noVBand="1"/>
      </w:tblPr>
      <w:tblGrid>
        <w:gridCol w:w="1526"/>
        <w:gridCol w:w="12648"/>
      </w:tblGrid>
      <w:tr w:rsidR="00306B8B" w:rsidRPr="00EA6830" w14:paraId="7F6EA3EE" w14:textId="77777777" w:rsidTr="00D22A9A">
        <w:tc>
          <w:tcPr>
            <w:tcW w:w="1526" w:type="dxa"/>
            <w:shd w:val="clear" w:color="auto" w:fill="C6D9F1" w:themeFill="text2" w:themeFillTint="33"/>
          </w:tcPr>
          <w:p w14:paraId="7F6EA3EB"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Burgenland</w:t>
            </w:r>
          </w:p>
        </w:tc>
        <w:tc>
          <w:tcPr>
            <w:tcW w:w="12648" w:type="dxa"/>
          </w:tcPr>
          <w:p w14:paraId="7F6EA3EC" w14:textId="05C3078C" w:rsidR="00306B8B" w:rsidRPr="00EA6830" w:rsidRDefault="00306B8B" w:rsidP="008B184C">
            <w:pPr>
              <w:pStyle w:val="ListParagraph"/>
              <w:ind w:left="0"/>
              <w:rPr>
                <w:rFonts w:ascii="Verdana" w:eastAsia="Calibri" w:hAnsi="Verdana" w:cs="Times New Roman"/>
                <w:sz w:val="20"/>
                <w:szCs w:val="20"/>
                <w:u w:val="single"/>
                <w:lang w:val="de-AT"/>
              </w:rPr>
            </w:pPr>
            <w:r w:rsidRPr="00EA6830">
              <w:rPr>
                <w:rFonts w:ascii="Verdana" w:eastAsia="Calibri" w:hAnsi="Verdana" w:cs="Arial"/>
                <w:sz w:val="20"/>
                <w:szCs w:val="20"/>
                <w:lang w:val="en-US"/>
              </w:rPr>
              <w:t>Austria, Act from 7 May 1992 on the election of municipal authorities (</w:t>
            </w:r>
            <w:r w:rsidRPr="00EA6830">
              <w:rPr>
                <w:rFonts w:ascii="Verdana" w:eastAsia="Calibri" w:hAnsi="Verdana" w:cs="Arial"/>
                <w:i/>
                <w:sz w:val="20"/>
                <w:szCs w:val="20"/>
                <w:lang w:val="en-US"/>
              </w:rPr>
              <w:t xml:space="preserve">Gesetz vom 7. </w:t>
            </w:r>
            <w:r w:rsidRPr="00EA6830">
              <w:rPr>
                <w:rFonts w:ascii="Verdana" w:eastAsia="Calibri" w:hAnsi="Verdana" w:cs="Arial"/>
                <w:i/>
                <w:sz w:val="20"/>
                <w:szCs w:val="20"/>
                <w:lang w:val="de-AT"/>
              </w:rPr>
              <w:t>Mai 1992 über die Wahl der Gemeindeorgane - Gemeindewahlordnung 1992</w:t>
            </w:r>
            <w:r w:rsidRPr="00EA6830">
              <w:rPr>
                <w:rFonts w:ascii="Verdana" w:eastAsia="Calibri" w:hAnsi="Verdana" w:cs="Arial"/>
                <w:sz w:val="20"/>
                <w:szCs w:val="20"/>
                <w:lang w:val="de-AT"/>
              </w:rPr>
              <w:t xml:space="preserve"> - </w:t>
            </w:r>
            <w:r w:rsidRPr="00EA6830">
              <w:rPr>
                <w:rFonts w:ascii="Verdana" w:eastAsia="Calibri" w:hAnsi="Verdana" w:cs="Arial"/>
                <w:i/>
                <w:sz w:val="20"/>
                <w:szCs w:val="20"/>
                <w:lang w:val="de-AT"/>
              </w:rPr>
              <w:t>GemWO 1992</w:t>
            </w:r>
            <w:r w:rsidRPr="00EA6830">
              <w:rPr>
                <w:rFonts w:ascii="Verdana" w:eastAsia="Calibri" w:hAnsi="Verdana" w:cs="Arial"/>
                <w:sz w:val="20"/>
                <w:szCs w:val="20"/>
                <w:lang w:val="de-AT"/>
              </w:rPr>
              <w:t>)</w:t>
            </w:r>
            <w:r w:rsidRPr="00EA6830">
              <w:rPr>
                <w:rFonts w:ascii="Verdana" w:eastAsia="Calibri" w:hAnsi="Verdana" w:cs="Times New Roman"/>
                <w:sz w:val="20"/>
                <w:szCs w:val="20"/>
                <w:lang w:val="de-AT"/>
              </w:rPr>
              <w:t xml:space="preserve"> LGBl No.54/1992, available at:</w:t>
            </w:r>
            <w:r w:rsidR="008B184C" w:rsidRPr="00EA6830">
              <w:rPr>
                <w:rFonts w:ascii="Verdana" w:eastAsia="Calibri" w:hAnsi="Verdana" w:cs="Times New Roman"/>
                <w:sz w:val="20"/>
                <w:szCs w:val="20"/>
                <w:lang w:val="de-AT"/>
              </w:rPr>
              <w:t xml:space="preserve"> </w:t>
            </w:r>
            <w:hyperlink r:id="rId13" w:history="1">
              <w:r w:rsidRPr="00840CC6">
                <w:rPr>
                  <w:rStyle w:val="Hyperlink"/>
                  <w:rFonts w:ascii="Verdana" w:eastAsia="Calibri" w:hAnsi="Verdana" w:cs="Times New Roman"/>
                  <w:sz w:val="20"/>
                  <w:szCs w:val="20"/>
                  <w:lang w:val="de-AT"/>
                </w:rPr>
                <w:t>www.ris.bka.gv.at/GeltendeFassung.wxe?Abfrage=LrBgld&amp;Gesetzesnummer=10000304</w:t>
              </w:r>
            </w:hyperlink>
          </w:p>
          <w:p w14:paraId="7F6EA3ED" w14:textId="77777777" w:rsidR="00306B8B" w:rsidRPr="00EA6830" w:rsidRDefault="00306B8B">
            <w:pPr>
              <w:rPr>
                <w:rFonts w:ascii="Verdana" w:eastAsia="Calibri" w:hAnsi="Verdana" w:cs="Times New Roman"/>
                <w:b/>
                <w:sz w:val="20"/>
                <w:szCs w:val="20"/>
                <w:lang w:val="de-AT"/>
              </w:rPr>
            </w:pPr>
          </w:p>
        </w:tc>
      </w:tr>
      <w:tr w:rsidR="00306B8B" w:rsidRPr="00EA6830" w14:paraId="7F6EA3F2" w14:textId="77777777" w:rsidTr="00D22A9A">
        <w:tc>
          <w:tcPr>
            <w:tcW w:w="1526" w:type="dxa"/>
            <w:shd w:val="clear" w:color="auto" w:fill="C6D9F1" w:themeFill="text2" w:themeFillTint="33"/>
          </w:tcPr>
          <w:p w14:paraId="7F6EA3EF"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Carinthia</w:t>
            </w:r>
          </w:p>
        </w:tc>
        <w:tc>
          <w:tcPr>
            <w:tcW w:w="12648" w:type="dxa"/>
          </w:tcPr>
          <w:p w14:paraId="7F6EA3F0" w14:textId="0D83CFCE" w:rsidR="00306B8B" w:rsidRPr="00EA6830" w:rsidRDefault="00306B8B" w:rsidP="008B184C">
            <w:pPr>
              <w:pStyle w:val="ListParagraph"/>
              <w:ind w:left="0"/>
              <w:rPr>
                <w:rFonts w:ascii="Verdana" w:eastAsia="Calibri" w:hAnsi="Verdana" w:cs="Times New Roman"/>
                <w:sz w:val="20"/>
                <w:szCs w:val="20"/>
                <w:u w:val="single"/>
                <w:lang w:val="en-US"/>
              </w:rPr>
            </w:pPr>
            <w:r w:rsidRPr="00EA6830">
              <w:rPr>
                <w:rFonts w:ascii="Verdana" w:eastAsia="Calibri" w:hAnsi="Verdana" w:cs="Arial"/>
                <w:sz w:val="20"/>
                <w:szCs w:val="20"/>
                <w:lang w:val="en-US"/>
              </w:rPr>
              <w:t>Austria, Act on the election of the municipal council and the mayor (</w:t>
            </w:r>
            <w:r w:rsidRPr="00EA6830">
              <w:rPr>
                <w:rFonts w:ascii="Verdana" w:eastAsia="Calibri" w:hAnsi="Verdana" w:cs="Arial"/>
                <w:i/>
                <w:sz w:val="20"/>
                <w:szCs w:val="20"/>
                <w:lang w:val="en-US"/>
              </w:rPr>
              <w:t>Gemeinderats- und Bürgermeisterwahlordnung 2002 - K-GBWO</w:t>
            </w:r>
            <w:r w:rsidRPr="00EA6830">
              <w:rPr>
                <w:rFonts w:ascii="Verdana" w:eastAsia="Calibri" w:hAnsi="Verdana" w:cs="Arial"/>
                <w:sz w:val="20"/>
                <w:szCs w:val="20"/>
                <w:lang w:val="en-US"/>
              </w:rPr>
              <w:t xml:space="preserve">) </w:t>
            </w:r>
            <w:r w:rsidRPr="00EA6830">
              <w:rPr>
                <w:rFonts w:ascii="Verdana" w:eastAsia="Calibri" w:hAnsi="Verdana" w:cs="Times New Roman"/>
                <w:sz w:val="20"/>
                <w:szCs w:val="20"/>
                <w:lang w:val="en-US"/>
              </w:rPr>
              <w:t xml:space="preserve">LGBl No. 32/2002, available at: </w:t>
            </w:r>
            <w:hyperlink r:id="rId14" w:history="1">
              <w:r w:rsidR="008B184C" w:rsidRPr="00840CC6">
                <w:rPr>
                  <w:rStyle w:val="Hyperlink"/>
                  <w:rFonts w:ascii="Verdana" w:eastAsia="Calibri" w:hAnsi="Verdana" w:cs="Times New Roman"/>
                  <w:sz w:val="20"/>
                  <w:szCs w:val="20"/>
                  <w:lang w:val="en-US"/>
                </w:rPr>
                <w:t>www.ris.bka.gv.at/GeltendeFassung.wxe?Abfrage=LrK&amp;Gesetzesnummer=20000047</w:t>
              </w:r>
            </w:hyperlink>
          </w:p>
          <w:p w14:paraId="7F6EA3F1" w14:textId="77777777" w:rsidR="00306B8B" w:rsidRPr="00EA6830" w:rsidRDefault="00306B8B">
            <w:pPr>
              <w:rPr>
                <w:rFonts w:ascii="Verdana" w:eastAsia="Calibri" w:hAnsi="Verdana" w:cs="Times New Roman"/>
                <w:b/>
                <w:sz w:val="20"/>
                <w:szCs w:val="20"/>
                <w:lang w:val="en-US"/>
              </w:rPr>
            </w:pPr>
          </w:p>
        </w:tc>
      </w:tr>
      <w:tr w:rsidR="00306B8B" w:rsidRPr="00EA6830" w14:paraId="7F6EA3F7" w14:textId="77777777" w:rsidTr="00D22A9A">
        <w:tc>
          <w:tcPr>
            <w:tcW w:w="1526" w:type="dxa"/>
            <w:shd w:val="clear" w:color="auto" w:fill="C6D9F1" w:themeFill="text2" w:themeFillTint="33"/>
          </w:tcPr>
          <w:p w14:paraId="7F6EA3F3"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Lower Austria</w:t>
            </w:r>
          </w:p>
        </w:tc>
        <w:tc>
          <w:tcPr>
            <w:tcW w:w="12648" w:type="dxa"/>
          </w:tcPr>
          <w:p w14:paraId="7F6EA3F4" w14:textId="77777777" w:rsidR="00306B8B" w:rsidRPr="00EA6830" w:rsidRDefault="00306B8B" w:rsidP="00306B8B">
            <w:pPr>
              <w:pStyle w:val="ListParagraph"/>
              <w:rPr>
                <w:rFonts w:ascii="Verdana" w:eastAsia="Calibri" w:hAnsi="Verdana" w:cs="Times New Roman"/>
                <w:sz w:val="20"/>
                <w:szCs w:val="20"/>
                <w:u w:val="single"/>
                <w:lang w:val="en-US"/>
              </w:rPr>
            </w:pPr>
          </w:p>
          <w:p w14:paraId="7F6EA3F5" w14:textId="31467778" w:rsidR="00306B8B" w:rsidRPr="00EA6830" w:rsidRDefault="00306B8B" w:rsidP="008B184C">
            <w:pPr>
              <w:pStyle w:val="ListParagraph"/>
              <w:ind w:left="0"/>
              <w:rPr>
                <w:rFonts w:ascii="Verdana" w:eastAsia="Calibri" w:hAnsi="Verdana" w:cs="Times New Roman"/>
                <w:sz w:val="20"/>
                <w:szCs w:val="20"/>
                <w:u w:val="single"/>
                <w:lang w:val="en-US"/>
              </w:rPr>
            </w:pPr>
            <w:r w:rsidRPr="00EA6830">
              <w:rPr>
                <w:rFonts w:ascii="Verdana" w:eastAsia="Calibri" w:hAnsi="Verdana" w:cs="Times New Roman"/>
                <w:sz w:val="20"/>
                <w:szCs w:val="20"/>
                <w:lang w:val="en-US"/>
              </w:rPr>
              <w:t>Austria, Act on the election of municipalities in Lower Austria 1994 (</w:t>
            </w:r>
            <w:r w:rsidRPr="00EA6830">
              <w:rPr>
                <w:rFonts w:ascii="Verdana" w:eastAsia="Calibri" w:hAnsi="Verdana" w:cs="Times New Roman"/>
                <w:i/>
                <w:sz w:val="20"/>
                <w:szCs w:val="20"/>
                <w:lang w:val="en-US"/>
              </w:rPr>
              <w:t>NÖ Gemeinderatswahlordnung 1994 - NÖ GRWO 1994</w:t>
            </w:r>
            <w:r w:rsidRPr="00EA6830">
              <w:rPr>
                <w:rFonts w:ascii="Verdana" w:eastAsia="Calibri" w:hAnsi="Verdana" w:cs="Times New Roman"/>
                <w:sz w:val="20"/>
                <w:szCs w:val="20"/>
                <w:lang w:val="en-US"/>
              </w:rPr>
              <w:t xml:space="preserve">) LGBl No. 112/1994, available at: </w:t>
            </w:r>
            <w:hyperlink r:id="rId15" w:history="1">
              <w:r w:rsidRPr="00840CC6">
                <w:rPr>
                  <w:rStyle w:val="Hyperlink"/>
                  <w:rFonts w:ascii="Verdana" w:eastAsia="Calibri" w:hAnsi="Verdana" w:cs="Times New Roman"/>
                  <w:sz w:val="20"/>
                  <w:szCs w:val="20"/>
                  <w:lang w:val="en-US"/>
                </w:rPr>
                <w:t>www.ris.bka.gv.at/Dokumente/LrNo/LRNI_2011121/LRNI_2011121.html</w:t>
              </w:r>
            </w:hyperlink>
          </w:p>
          <w:p w14:paraId="7F6EA3F6" w14:textId="77777777" w:rsidR="00306B8B" w:rsidRPr="00EA6830" w:rsidRDefault="00306B8B">
            <w:pPr>
              <w:rPr>
                <w:rFonts w:ascii="Verdana" w:eastAsia="Calibri" w:hAnsi="Verdana" w:cs="Times New Roman"/>
                <w:b/>
                <w:sz w:val="20"/>
                <w:szCs w:val="20"/>
                <w:lang w:val="en-US"/>
              </w:rPr>
            </w:pPr>
          </w:p>
        </w:tc>
      </w:tr>
      <w:tr w:rsidR="00306B8B" w:rsidRPr="00EA6830" w14:paraId="7F6EA3FC" w14:textId="77777777" w:rsidTr="00D22A9A">
        <w:tc>
          <w:tcPr>
            <w:tcW w:w="1526" w:type="dxa"/>
            <w:shd w:val="clear" w:color="auto" w:fill="C6D9F1" w:themeFill="text2" w:themeFillTint="33"/>
          </w:tcPr>
          <w:p w14:paraId="7F6EA3F8"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Upper Austria</w:t>
            </w:r>
          </w:p>
        </w:tc>
        <w:tc>
          <w:tcPr>
            <w:tcW w:w="12648" w:type="dxa"/>
          </w:tcPr>
          <w:p w14:paraId="7F6EA3F9" w14:textId="77777777" w:rsidR="00306B8B" w:rsidRPr="00EA6830" w:rsidRDefault="00306B8B" w:rsidP="00306B8B">
            <w:pPr>
              <w:pStyle w:val="ListParagraph"/>
              <w:rPr>
                <w:rFonts w:ascii="Verdana" w:eastAsia="Calibri" w:hAnsi="Verdana" w:cs="Times New Roman"/>
                <w:sz w:val="20"/>
                <w:szCs w:val="20"/>
                <w:u w:val="single"/>
                <w:lang w:val="en-US"/>
              </w:rPr>
            </w:pPr>
          </w:p>
          <w:p w14:paraId="7F6EA3FA" w14:textId="469E861F" w:rsidR="00306B8B" w:rsidRPr="00EA6830" w:rsidRDefault="00306B8B" w:rsidP="008B184C">
            <w:pPr>
              <w:pStyle w:val="ListParagraph"/>
              <w:ind w:left="0"/>
              <w:rPr>
                <w:rFonts w:ascii="Verdana" w:eastAsia="Calibri" w:hAnsi="Verdana" w:cs="Times New Roman"/>
                <w:sz w:val="20"/>
                <w:szCs w:val="20"/>
                <w:u w:val="single"/>
                <w:lang w:val="de-AT"/>
              </w:rPr>
            </w:pPr>
            <w:r w:rsidRPr="00EA6830">
              <w:rPr>
                <w:rFonts w:ascii="Verdana" w:eastAsia="Calibri" w:hAnsi="Verdana" w:cs="Arial"/>
                <w:sz w:val="20"/>
                <w:szCs w:val="20"/>
                <w:lang w:val="en-US"/>
              </w:rPr>
              <w:t>Austria, Provincial Act on the elction of</w:t>
            </w:r>
            <w:r w:rsidR="009651BB" w:rsidRPr="00EA6830">
              <w:rPr>
                <w:rFonts w:ascii="Verdana" w:eastAsia="Calibri" w:hAnsi="Verdana" w:cs="Arial"/>
                <w:sz w:val="20"/>
                <w:szCs w:val="20"/>
                <w:lang w:val="en-US"/>
              </w:rPr>
              <w:t xml:space="preserve"> t</w:t>
            </w:r>
            <w:r w:rsidRPr="00EA6830">
              <w:rPr>
                <w:rFonts w:ascii="Verdana" w:eastAsia="Calibri" w:hAnsi="Verdana" w:cs="Arial"/>
                <w:sz w:val="20"/>
                <w:szCs w:val="20"/>
                <w:lang w:val="en-US"/>
              </w:rPr>
              <w:t>he members of</w:t>
            </w:r>
            <w:r w:rsidR="009651BB" w:rsidRPr="00EA6830">
              <w:rPr>
                <w:rFonts w:ascii="Verdana" w:eastAsia="Calibri" w:hAnsi="Verdana" w:cs="Arial"/>
                <w:sz w:val="20"/>
                <w:szCs w:val="20"/>
                <w:lang w:val="en-US"/>
              </w:rPr>
              <w:t xml:space="preserve"> t</w:t>
            </w:r>
            <w:r w:rsidRPr="00EA6830">
              <w:rPr>
                <w:rFonts w:ascii="Verdana" w:eastAsia="Calibri" w:hAnsi="Verdana" w:cs="Arial"/>
                <w:sz w:val="20"/>
                <w:szCs w:val="20"/>
                <w:lang w:val="en-US"/>
              </w:rPr>
              <w:t>he municipal council and the mayor (</w:t>
            </w:r>
            <w:r w:rsidRPr="00EA6830">
              <w:rPr>
                <w:rFonts w:ascii="Verdana" w:eastAsia="Calibri" w:hAnsi="Verdana" w:cs="Arial"/>
                <w:i/>
                <w:sz w:val="20"/>
                <w:szCs w:val="20"/>
                <w:lang w:val="en-US"/>
              </w:rPr>
              <w:t xml:space="preserve">Landesgesetz vom 4. </w:t>
            </w:r>
            <w:r w:rsidRPr="00EA6830">
              <w:rPr>
                <w:rFonts w:ascii="Verdana" w:eastAsia="Calibri" w:hAnsi="Verdana" w:cs="Arial"/>
                <w:i/>
                <w:sz w:val="20"/>
                <w:szCs w:val="20"/>
                <w:lang w:val="de-AT"/>
              </w:rPr>
              <w:t xml:space="preserve">Juli 1996 über die Wahl der Mitglieder des Gemeinderates und des Bürgermeisters - </w:t>
            </w:r>
            <w:r w:rsidRPr="00EA6830">
              <w:rPr>
                <w:rFonts w:ascii="Verdana" w:eastAsia="Calibri" w:hAnsi="Verdana" w:cs="Times New Roman"/>
                <w:i/>
                <w:sz w:val="20"/>
                <w:szCs w:val="20"/>
                <w:lang w:val="de-AT"/>
              </w:rPr>
              <w:t>OÖ Kommunalwahlordnung</w:t>
            </w:r>
            <w:r w:rsidRPr="00EA6830">
              <w:rPr>
                <w:rFonts w:ascii="Verdana" w:eastAsia="Calibri" w:hAnsi="Verdana" w:cs="Times New Roman"/>
                <w:sz w:val="20"/>
                <w:szCs w:val="20"/>
                <w:lang w:val="de-AT"/>
              </w:rPr>
              <w:t xml:space="preserve">) LGBl No. 81/1996, available at: </w:t>
            </w:r>
            <w:hyperlink r:id="rId16" w:history="1">
              <w:r w:rsidRPr="00840CC6">
                <w:rPr>
                  <w:rStyle w:val="Hyperlink"/>
                  <w:rFonts w:ascii="Verdana" w:eastAsia="Calibri" w:hAnsi="Verdana" w:cs="Times New Roman"/>
                  <w:sz w:val="20"/>
                  <w:szCs w:val="20"/>
                  <w:lang w:val="de-AT"/>
                </w:rPr>
                <w:t>www.ris.bka.gv.at/GeltendeFassung.wxe?Abfrage=LrOO&amp;Gesetzesnummer=10000481</w:t>
              </w:r>
            </w:hyperlink>
          </w:p>
          <w:p w14:paraId="7F6EA3FB" w14:textId="77777777" w:rsidR="00306B8B" w:rsidRPr="00EA6830" w:rsidRDefault="00306B8B">
            <w:pPr>
              <w:rPr>
                <w:rFonts w:ascii="Verdana" w:eastAsia="Calibri" w:hAnsi="Verdana" w:cs="Times New Roman"/>
                <w:b/>
                <w:sz w:val="20"/>
                <w:szCs w:val="20"/>
                <w:lang w:val="de-AT"/>
              </w:rPr>
            </w:pPr>
          </w:p>
        </w:tc>
      </w:tr>
      <w:tr w:rsidR="00306B8B" w:rsidRPr="00EA6830" w14:paraId="7F6EA401" w14:textId="77777777" w:rsidTr="00D22A9A">
        <w:tc>
          <w:tcPr>
            <w:tcW w:w="1526" w:type="dxa"/>
            <w:shd w:val="clear" w:color="auto" w:fill="C6D9F1" w:themeFill="text2" w:themeFillTint="33"/>
          </w:tcPr>
          <w:p w14:paraId="7F6EA3FD"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Salzburg</w:t>
            </w:r>
          </w:p>
        </w:tc>
        <w:tc>
          <w:tcPr>
            <w:tcW w:w="12648" w:type="dxa"/>
          </w:tcPr>
          <w:p w14:paraId="7F6EA3FE" w14:textId="77777777" w:rsidR="00306B8B" w:rsidRPr="00EA6830" w:rsidRDefault="00306B8B" w:rsidP="00306B8B">
            <w:pPr>
              <w:pStyle w:val="ListParagraph"/>
              <w:rPr>
                <w:rFonts w:ascii="Verdana" w:eastAsia="Calibri" w:hAnsi="Verdana" w:cs="Times New Roman"/>
                <w:sz w:val="20"/>
                <w:szCs w:val="20"/>
                <w:u w:val="single"/>
                <w:lang w:val="en-US"/>
              </w:rPr>
            </w:pPr>
          </w:p>
          <w:p w14:paraId="7F6EA3FF" w14:textId="77777777" w:rsidR="00306B8B" w:rsidRPr="00EA6830" w:rsidRDefault="00306B8B" w:rsidP="008B184C">
            <w:pPr>
              <w:pStyle w:val="ListParagraph"/>
              <w:ind w:left="0"/>
              <w:rPr>
                <w:rFonts w:ascii="Verdana" w:eastAsia="Calibri" w:hAnsi="Verdana" w:cs="Times New Roman"/>
                <w:sz w:val="20"/>
                <w:szCs w:val="20"/>
                <w:u w:val="single"/>
                <w:lang w:val="en-US"/>
              </w:rPr>
            </w:pPr>
            <w:r w:rsidRPr="00EA6830">
              <w:rPr>
                <w:rFonts w:ascii="Verdana" w:eastAsia="Calibri" w:hAnsi="Verdana" w:cs="Arial"/>
                <w:sz w:val="20"/>
                <w:szCs w:val="20"/>
                <w:lang w:val="en-US"/>
              </w:rPr>
              <w:t>Austria, Act on the election of municipalities of Salzburg 1998 (</w:t>
            </w:r>
            <w:r w:rsidRPr="00EA6830">
              <w:rPr>
                <w:rFonts w:ascii="Verdana" w:eastAsia="Calibri" w:hAnsi="Verdana" w:cs="Arial"/>
                <w:i/>
                <w:sz w:val="20"/>
                <w:szCs w:val="20"/>
                <w:lang w:val="en-US"/>
              </w:rPr>
              <w:t>Salzburger Gemeindewahlordnung 1998</w:t>
            </w:r>
            <w:r w:rsidRPr="00EA6830">
              <w:rPr>
                <w:rFonts w:ascii="Verdana" w:eastAsia="Calibri" w:hAnsi="Verdana" w:cs="Times New Roman"/>
                <w:sz w:val="20"/>
                <w:szCs w:val="20"/>
                <w:lang w:val="en-US"/>
              </w:rPr>
              <w:t xml:space="preserve">) LGBl No. 117/1998, available at: </w:t>
            </w:r>
            <w:r w:rsidRPr="00EA6830">
              <w:rPr>
                <w:rFonts w:ascii="Verdana" w:eastAsia="Calibri" w:hAnsi="Verdana" w:cs="Times New Roman"/>
                <w:sz w:val="20"/>
                <w:szCs w:val="20"/>
                <w:u w:val="single"/>
                <w:lang w:val="en-US"/>
              </w:rPr>
              <w:t>www.ris.bka.gv.at/GeltendeFassung.wxe?Abfrage=LrSbg&amp;Gesetzesnummer=10001108</w:t>
            </w:r>
          </w:p>
          <w:p w14:paraId="7F6EA400" w14:textId="77777777" w:rsidR="00306B8B" w:rsidRPr="00EA6830" w:rsidRDefault="00306B8B">
            <w:pPr>
              <w:rPr>
                <w:rFonts w:ascii="Verdana" w:eastAsia="Calibri" w:hAnsi="Verdana" w:cs="Times New Roman"/>
                <w:b/>
                <w:sz w:val="20"/>
                <w:szCs w:val="20"/>
                <w:lang w:val="en-US"/>
              </w:rPr>
            </w:pPr>
          </w:p>
        </w:tc>
      </w:tr>
      <w:tr w:rsidR="00306B8B" w:rsidRPr="00EA6830" w14:paraId="7F6EA408" w14:textId="77777777" w:rsidTr="00D22A9A">
        <w:tc>
          <w:tcPr>
            <w:tcW w:w="1526" w:type="dxa"/>
            <w:shd w:val="clear" w:color="auto" w:fill="C6D9F1" w:themeFill="text2" w:themeFillTint="33"/>
          </w:tcPr>
          <w:p w14:paraId="7F6EA402"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Styria</w:t>
            </w:r>
          </w:p>
        </w:tc>
        <w:tc>
          <w:tcPr>
            <w:tcW w:w="12648" w:type="dxa"/>
          </w:tcPr>
          <w:p w14:paraId="7F6EA403" w14:textId="77777777" w:rsidR="00306B8B" w:rsidRPr="00EA6830" w:rsidRDefault="00306B8B" w:rsidP="00306B8B">
            <w:pPr>
              <w:pStyle w:val="ListParagraph"/>
              <w:rPr>
                <w:rFonts w:ascii="Verdana" w:eastAsia="Calibri" w:hAnsi="Verdana" w:cs="Times New Roman"/>
                <w:sz w:val="20"/>
                <w:szCs w:val="20"/>
                <w:u w:val="single"/>
                <w:lang w:val="en-US"/>
              </w:rPr>
            </w:pPr>
          </w:p>
          <w:p w14:paraId="7F6EA404" w14:textId="334A4A65" w:rsidR="00306B8B" w:rsidRPr="00EA6830" w:rsidRDefault="00306B8B" w:rsidP="008B184C">
            <w:pPr>
              <w:pStyle w:val="ListParagraph"/>
              <w:ind w:left="0"/>
              <w:rPr>
                <w:rFonts w:ascii="Verdana" w:eastAsia="Calibri" w:hAnsi="Verdana" w:cs="Times New Roman"/>
                <w:sz w:val="20"/>
                <w:szCs w:val="20"/>
                <w:u w:val="single"/>
                <w:lang w:val="de-AT"/>
              </w:rPr>
            </w:pPr>
            <w:r w:rsidRPr="00EA6830">
              <w:rPr>
                <w:rFonts w:ascii="Verdana" w:eastAsia="Calibri" w:hAnsi="Verdana" w:cs="Times New Roman"/>
                <w:sz w:val="20"/>
                <w:szCs w:val="20"/>
                <w:lang w:val="en-US"/>
              </w:rPr>
              <w:t>Austria, Act from 21 April 2009 on the election of municipalities (</w:t>
            </w:r>
            <w:r w:rsidRPr="00EA6830">
              <w:rPr>
                <w:rFonts w:ascii="Verdana" w:eastAsia="Calibri" w:hAnsi="Verdana" w:cs="Times New Roman"/>
                <w:i/>
                <w:sz w:val="20"/>
                <w:szCs w:val="20"/>
                <w:lang w:val="en-US"/>
              </w:rPr>
              <w:t xml:space="preserve">Gesetz vom 21. </w:t>
            </w:r>
            <w:r w:rsidRPr="00EA6830">
              <w:rPr>
                <w:rFonts w:ascii="Verdana" w:eastAsia="Calibri" w:hAnsi="Verdana" w:cs="Times New Roman"/>
                <w:i/>
                <w:sz w:val="20"/>
                <w:szCs w:val="20"/>
                <w:lang w:val="de-AT"/>
              </w:rPr>
              <w:t xml:space="preserve">April 2009 über die Gemeindewahlordnung 2009 – GWO) </w:t>
            </w:r>
            <w:r w:rsidRPr="00EA6830">
              <w:rPr>
                <w:rFonts w:ascii="Verdana" w:eastAsia="Calibri" w:hAnsi="Verdana" w:cs="Times New Roman"/>
                <w:sz w:val="20"/>
                <w:szCs w:val="20"/>
                <w:lang w:val="de-AT"/>
              </w:rPr>
              <w:t xml:space="preserve">LGBl No. 59/2009, available at: </w:t>
            </w:r>
            <w:hyperlink r:id="rId17" w:history="1">
              <w:r w:rsidRPr="00840CC6">
                <w:rPr>
                  <w:rStyle w:val="Hyperlink"/>
                  <w:rFonts w:ascii="Verdana" w:eastAsia="Calibri" w:hAnsi="Verdana" w:cs="Times New Roman"/>
                  <w:sz w:val="20"/>
                  <w:szCs w:val="20"/>
                  <w:lang w:val="de-AT"/>
                </w:rPr>
                <w:t>www.ris.bka.gv.at/Dokument.wxe?Abfrage=LrStmk&amp;Dokumentnummer=LRST_0350_004&amp;ResultFunctionToken=31923fdd-db8b-4aa0-9e65-dfee369e08e3&amp;Position=1&amp;Titel=&amp;Typ=&amp;Index=&amp;ImRisSeit=Undefined&amp;ResultPageSize=50&amp;Suchworte=GWO</w:t>
              </w:r>
            </w:hyperlink>
          </w:p>
          <w:p w14:paraId="7F6EA405" w14:textId="77777777" w:rsidR="00306B8B" w:rsidRPr="00EA6830" w:rsidRDefault="00306B8B" w:rsidP="00306B8B">
            <w:pPr>
              <w:pStyle w:val="ListParagraph"/>
              <w:ind w:left="0"/>
              <w:rPr>
                <w:rFonts w:ascii="Verdana" w:eastAsia="Calibri" w:hAnsi="Verdana" w:cs="Times New Roman"/>
                <w:sz w:val="20"/>
                <w:szCs w:val="20"/>
                <w:u w:val="single"/>
                <w:lang w:val="de-AT"/>
              </w:rPr>
            </w:pPr>
          </w:p>
          <w:p w14:paraId="7F6EA406" w14:textId="6BF8C600" w:rsidR="00306B8B" w:rsidRPr="00EA6830" w:rsidRDefault="00306B8B" w:rsidP="008B184C">
            <w:pPr>
              <w:pStyle w:val="ListParagraph"/>
              <w:ind w:left="0"/>
              <w:rPr>
                <w:rFonts w:ascii="Verdana" w:hAnsi="Verdana" w:cs="Arial"/>
                <w:sz w:val="20"/>
                <w:szCs w:val="20"/>
                <w:u w:val="single"/>
                <w:lang w:val="de-AT"/>
              </w:rPr>
            </w:pPr>
            <w:r w:rsidRPr="00EA6830">
              <w:rPr>
                <w:rFonts w:ascii="Verdana" w:hAnsi="Verdana"/>
                <w:sz w:val="20"/>
                <w:szCs w:val="20"/>
                <w:lang w:val="en-US"/>
              </w:rPr>
              <w:t>Austria, Act from 19 June 2012 on the election of the municipality of the Styrian Capital Graz (</w:t>
            </w:r>
            <w:r w:rsidRPr="00EA6830">
              <w:rPr>
                <w:rFonts w:ascii="Verdana" w:hAnsi="Verdana"/>
                <w:i/>
                <w:sz w:val="20"/>
                <w:szCs w:val="20"/>
                <w:lang w:val="en-US"/>
              </w:rPr>
              <w:t xml:space="preserve">Gesetz vom 19. </w:t>
            </w:r>
            <w:r w:rsidRPr="00EA6830">
              <w:rPr>
                <w:rFonts w:ascii="Verdana" w:hAnsi="Verdana"/>
                <w:i/>
                <w:sz w:val="20"/>
                <w:szCs w:val="20"/>
                <w:lang w:val="de-AT"/>
              </w:rPr>
              <w:t>Juni 2012, mit dem eine Gemeindewahlor</w:t>
            </w:r>
            <w:r w:rsidR="00734710" w:rsidRPr="00EA6830">
              <w:rPr>
                <w:rFonts w:ascii="Verdana" w:hAnsi="Verdana"/>
                <w:i/>
                <w:sz w:val="20"/>
                <w:szCs w:val="20"/>
                <w:lang w:val="de-AT"/>
              </w:rPr>
              <w:t>dnung für die Landeshauptstadt G</w:t>
            </w:r>
            <w:r w:rsidRPr="00EA6830">
              <w:rPr>
                <w:rFonts w:ascii="Verdana" w:hAnsi="Verdana"/>
                <w:i/>
                <w:sz w:val="20"/>
                <w:szCs w:val="20"/>
                <w:lang w:val="de-AT"/>
              </w:rPr>
              <w:t>raz beschlossen wird - Gemeindewahlordnung Graz</w:t>
            </w:r>
            <w:r w:rsidRPr="00EA6830">
              <w:rPr>
                <w:rFonts w:ascii="Verdana" w:hAnsi="Verdana"/>
                <w:sz w:val="20"/>
                <w:szCs w:val="20"/>
                <w:lang w:val="de-AT"/>
              </w:rPr>
              <w:t xml:space="preserve">) LGBl No. 86/2012, available at: </w:t>
            </w:r>
            <w:hyperlink r:id="rId18" w:history="1">
              <w:r w:rsidRPr="00840CC6">
                <w:rPr>
                  <w:rStyle w:val="Hyperlink"/>
                  <w:rFonts w:ascii="Verdana" w:hAnsi="Verdana"/>
                  <w:sz w:val="20"/>
                  <w:szCs w:val="20"/>
                  <w:lang w:val="de-AT"/>
                </w:rPr>
                <w:t>www.ris.bka.gv.at/Dokument.wxe?Abfrage=LrStmk&amp;Dokumentnummer=LRST_0350_005&amp;ResultFunctionToken=b26df74d-95f4-4944-8f4e-d923ce976c48&amp;Position=1&amp;Titel=&amp;Typ=&amp;Index=&amp;ImRisSeit=Undefined&amp;ResultPageSize=50&amp;Suchworte=Gemeindewahlordnung+Graz</w:t>
              </w:r>
            </w:hyperlink>
          </w:p>
          <w:p w14:paraId="7F6EA407" w14:textId="77777777" w:rsidR="00306B8B" w:rsidRPr="00EA6830" w:rsidRDefault="00306B8B">
            <w:pPr>
              <w:rPr>
                <w:rFonts w:ascii="Verdana" w:eastAsia="Calibri" w:hAnsi="Verdana" w:cs="Times New Roman"/>
                <w:b/>
                <w:sz w:val="20"/>
                <w:szCs w:val="20"/>
                <w:lang w:val="de-AT"/>
              </w:rPr>
            </w:pPr>
          </w:p>
        </w:tc>
      </w:tr>
      <w:tr w:rsidR="00306B8B" w:rsidRPr="00EA6830" w14:paraId="7F6EA40C" w14:textId="77777777" w:rsidTr="00D22A9A">
        <w:tc>
          <w:tcPr>
            <w:tcW w:w="1526" w:type="dxa"/>
            <w:shd w:val="clear" w:color="auto" w:fill="C6D9F1" w:themeFill="text2" w:themeFillTint="33"/>
          </w:tcPr>
          <w:p w14:paraId="7F6EA409" w14:textId="77777777" w:rsidR="00306B8B" w:rsidRPr="00EA6830" w:rsidRDefault="00306B8B">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Tyrol</w:t>
            </w:r>
          </w:p>
        </w:tc>
        <w:tc>
          <w:tcPr>
            <w:tcW w:w="12648" w:type="dxa"/>
          </w:tcPr>
          <w:p w14:paraId="7F6EA40A" w14:textId="4B2BB5D0" w:rsidR="00306B8B" w:rsidRPr="00EA6830" w:rsidRDefault="00306B8B" w:rsidP="008B184C">
            <w:pPr>
              <w:pStyle w:val="ListParagraph"/>
              <w:ind w:left="0"/>
              <w:rPr>
                <w:rFonts w:ascii="Verdana" w:eastAsia="Calibri" w:hAnsi="Verdana" w:cs="Times New Roman"/>
                <w:sz w:val="20"/>
                <w:szCs w:val="20"/>
                <w:u w:val="single"/>
                <w:lang w:val="en-US"/>
              </w:rPr>
            </w:pPr>
            <w:r w:rsidRPr="00EA6830">
              <w:rPr>
                <w:rFonts w:ascii="Verdana" w:eastAsia="Calibri" w:hAnsi="Verdana" w:cs="Times New Roman"/>
                <w:sz w:val="20"/>
                <w:szCs w:val="20"/>
                <w:lang w:val="en-US"/>
              </w:rPr>
              <w:t>Austria, Act on the election of municipalities of the province of Tyrol (</w:t>
            </w:r>
            <w:r w:rsidRPr="00EA6830">
              <w:rPr>
                <w:rFonts w:ascii="Verdana" w:eastAsia="Calibri" w:hAnsi="Verdana" w:cs="Times New Roman"/>
                <w:i/>
                <w:sz w:val="20"/>
                <w:szCs w:val="20"/>
                <w:lang w:val="en-US"/>
              </w:rPr>
              <w:t>Tiroler Gemeindewahlordnung 1994</w:t>
            </w:r>
            <w:r w:rsidRPr="00EA6830">
              <w:rPr>
                <w:rFonts w:ascii="Verdana" w:eastAsia="Calibri" w:hAnsi="Verdana" w:cs="Times New Roman"/>
                <w:sz w:val="20"/>
                <w:szCs w:val="20"/>
                <w:lang w:val="en-US"/>
              </w:rPr>
              <w:t xml:space="preserve">) LGBl No. 88/1994, available at: </w:t>
            </w:r>
            <w:hyperlink r:id="rId19" w:history="1">
              <w:r w:rsidRPr="00840CC6">
                <w:rPr>
                  <w:rStyle w:val="Hyperlink"/>
                  <w:rFonts w:ascii="Verdana" w:eastAsia="Calibri" w:hAnsi="Verdana" w:cs="Times New Roman"/>
                  <w:sz w:val="20"/>
                  <w:szCs w:val="20"/>
                  <w:lang w:val="en-US"/>
                </w:rPr>
                <w:t>www.ris.bka.gv.at/GeltendeFassung.wxe?Abfrage=LrT&amp;Gesetzesnummer=20000186</w:t>
              </w:r>
            </w:hyperlink>
          </w:p>
          <w:p w14:paraId="7F6EA40B" w14:textId="77777777" w:rsidR="00306B8B" w:rsidRPr="00EA6830" w:rsidRDefault="00306B8B">
            <w:pPr>
              <w:rPr>
                <w:rFonts w:ascii="Verdana" w:eastAsia="Calibri" w:hAnsi="Verdana" w:cs="Times New Roman"/>
                <w:b/>
                <w:sz w:val="20"/>
                <w:szCs w:val="20"/>
                <w:lang w:val="en-US"/>
              </w:rPr>
            </w:pPr>
          </w:p>
        </w:tc>
      </w:tr>
      <w:tr w:rsidR="00306B8B" w:rsidRPr="00EA6830" w14:paraId="7F6EA410" w14:textId="77777777" w:rsidTr="00D22A9A">
        <w:tc>
          <w:tcPr>
            <w:tcW w:w="1526" w:type="dxa"/>
            <w:shd w:val="clear" w:color="auto" w:fill="C6D9F1" w:themeFill="text2" w:themeFillTint="33"/>
          </w:tcPr>
          <w:p w14:paraId="7F6EA40D" w14:textId="77777777" w:rsidR="00306B8B" w:rsidRPr="00EA6830" w:rsidRDefault="00734710">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Vienna</w:t>
            </w:r>
          </w:p>
        </w:tc>
        <w:tc>
          <w:tcPr>
            <w:tcW w:w="12648" w:type="dxa"/>
          </w:tcPr>
          <w:p w14:paraId="7F6EA40E" w14:textId="638420CF" w:rsidR="00734710" w:rsidRPr="00EA6830" w:rsidRDefault="00734710" w:rsidP="008B184C">
            <w:pPr>
              <w:pStyle w:val="ListParagraph"/>
              <w:ind w:left="0"/>
              <w:rPr>
                <w:rFonts w:ascii="Verdana" w:eastAsia="Calibri" w:hAnsi="Verdana" w:cs="Times New Roman"/>
                <w:sz w:val="20"/>
                <w:szCs w:val="20"/>
                <w:u w:val="single"/>
                <w:lang w:val="en-US"/>
              </w:rPr>
            </w:pPr>
            <w:r w:rsidRPr="00EA6830">
              <w:rPr>
                <w:rFonts w:ascii="Verdana" w:eastAsia="Calibri" w:hAnsi="Verdana" w:cs="Times New Roman"/>
                <w:sz w:val="20"/>
                <w:szCs w:val="20"/>
                <w:lang w:val="en-US"/>
              </w:rPr>
              <w:t>Austria, Act on the election of the municipality of the city of Vienna (</w:t>
            </w:r>
            <w:r w:rsidRPr="00EA6830">
              <w:rPr>
                <w:rFonts w:ascii="Verdana" w:eastAsia="Calibri" w:hAnsi="Verdana" w:cs="Times New Roman"/>
                <w:i/>
                <w:sz w:val="20"/>
                <w:szCs w:val="20"/>
                <w:lang w:val="en-US"/>
              </w:rPr>
              <w:t xml:space="preserve">Gesetz über die Gemeindewahlordnung der Stadt Wien – Wiener Gemeindewahlordnung 1996 – GWO 1996) </w:t>
            </w:r>
            <w:r w:rsidRPr="00EA6830">
              <w:rPr>
                <w:rFonts w:ascii="Verdana" w:eastAsia="Calibri" w:hAnsi="Verdana" w:cs="Times New Roman"/>
                <w:sz w:val="20"/>
                <w:szCs w:val="20"/>
                <w:lang w:val="en-US"/>
              </w:rPr>
              <w:t xml:space="preserve">LGBl No. 16/1996, available at: </w:t>
            </w:r>
            <w:hyperlink r:id="rId20" w:history="1">
              <w:r w:rsidRPr="00840CC6">
                <w:rPr>
                  <w:rStyle w:val="Hyperlink"/>
                  <w:rFonts w:ascii="Verdana" w:eastAsia="Calibri" w:hAnsi="Verdana" w:cs="Times New Roman"/>
                  <w:sz w:val="20"/>
                  <w:szCs w:val="20"/>
                  <w:lang w:val="en-US"/>
                </w:rPr>
                <w:t>www.ris.bka.gv.at/Dokument.wxe?Abfrage=LrW&amp;Dokumentnummer=LRWI_V100_000&amp;ResultFunctionToken=c11301d4-29e8-4d55-8731-d21012b75c14&amp;Position=1&amp;Titel=&amp;Typ=&amp;Index=&amp;ImRisSeit=Undefined&amp;ResultPageSize=50&amp;Suchworte=GWO</w:t>
              </w:r>
            </w:hyperlink>
          </w:p>
          <w:p w14:paraId="7F6EA40F" w14:textId="77777777" w:rsidR="00306B8B" w:rsidRPr="00EA6830" w:rsidRDefault="00306B8B" w:rsidP="00734710">
            <w:pPr>
              <w:pStyle w:val="ListParagraph"/>
              <w:ind w:left="0"/>
              <w:rPr>
                <w:rFonts w:ascii="Verdana" w:eastAsia="Calibri" w:hAnsi="Verdana" w:cs="Times New Roman"/>
                <w:b/>
                <w:sz w:val="20"/>
                <w:szCs w:val="20"/>
                <w:lang w:val="en-US"/>
              </w:rPr>
            </w:pPr>
          </w:p>
        </w:tc>
      </w:tr>
      <w:tr w:rsidR="00306B8B" w:rsidRPr="00EA6830" w14:paraId="7F6EA414" w14:textId="77777777" w:rsidTr="00D22A9A">
        <w:tc>
          <w:tcPr>
            <w:tcW w:w="1526" w:type="dxa"/>
            <w:shd w:val="clear" w:color="auto" w:fill="C6D9F1" w:themeFill="text2" w:themeFillTint="33"/>
          </w:tcPr>
          <w:p w14:paraId="7F6EA411" w14:textId="77777777" w:rsidR="00306B8B" w:rsidRPr="00EA6830" w:rsidRDefault="00734710" w:rsidP="00734710">
            <w:pPr>
              <w:rPr>
                <w:rFonts w:ascii="Verdana" w:eastAsia="Calibri" w:hAnsi="Verdana" w:cs="Times New Roman"/>
                <w:b/>
                <w:sz w:val="20"/>
                <w:szCs w:val="20"/>
                <w:lang w:val="de-AT"/>
              </w:rPr>
            </w:pPr>
            <w:r w:rsidRPr="00EA6830">
              <w:rPr>
                <w:rFonts w:ascii="Verdana" w:eastAsia="Calibri" w:hAnsi="Verdana" w:cs="Times New Roman"/>
                <w:b/>
                <w:sz w:val="20"/>
                <w:szCs w:val="20"/>
                <w:lang w:val="de-AT"/>
              </w:rPr>
              <w:t xml:space="preserve">Vorarlberg </w:t>
            </w:r>
          </w:p>
        </w:tc>
        <w:tc>
          <w:tcPr>
            <w:tcW w:w="12648" w:type="dxa"/>
          </w:tcPr>
          <w:p w14:paraId="7F6EA412" w14:textId="04DBB74E" w:rsidR="00734710" w:rsidRPr="00EA6830" w:rsidRDefault="00734710" w:rsidP="008B184C">
            <w:pPr>
              <w:pStyle w:val="ListParagraph"/>
              <w:ind w:left="0"/>
              <w:rPr>
                <w:rFonts w:ascii="Verdana" w:eastAsia="Calibri" w:hAnsi="Verdana" w:cs="Times New Roman"/>
                <w:sz w:val="20"/>
                <w:szCs w:val="20"/>
                <w:u w:val="single"/>
                <w:lang w:val="de-AT"/>
              </w:rPr>
            </w:pPr>
            <w:r w:rsidRPr="00EA6830">
              <w:rPr>
                <w:rFonts w:ascii="Verdana" w:eastAsia="Calibri" w:hAnsi="Verdana" w:cs="Times New Roman"/>
                <w:sz w:val="20"/>
                <w:szCs w:val="20"/>
                <w:lang w:val="de-AT"/>
              </w:rPr>
              <w:t>Austria Vorarlberger, Austria, Act on the election of the municipal council and the mayor (</w:t>
            </w:r>
            <w:r w:rsidRPr="00EA6830">
              <w:rPr>
                <w:rFonts w:ascii="Verdana" w:eastAsia="Calibri" w:hAnsi="Verdana" w:cs="Arial"/>
                <w:i/>
                <w:sz w:val="20"/>
                <w:szCs w:val="20"/>
                <w:lang w:val="de-AT"/>
              </w:rPr>
              <w:t xml:space="preserve">Gesetz über das Verfahren bei Wahlen in die Gemeindevertretung und des Bürgermeisters - </w:t>
            </w:r>
            <w:r w:rsidRPr="00EA6830">
              <w:rPr>
                <w:rFonts w:ascii="Verdana" w:eastAsia="Calibri" w:hAnsi="Verdana" w:cs="Times New Roman"/>
                <w:i/>
                <w:sz w:val="20"/>
                <w:szCs w:val="20"/>
                <w:lang w:val="de-AT"/>
              </w:rPr>
              <w:t>Gemeindewahlgesetz</w:t>
            </w:r>
            <w:r w:rsidRPr="00EA6830">
              <w:rPr>
                <w:rFonts w:ascii="Verdana" w:eastAsia="Calibri" w:hAnsi="Verdana" w:cs="Times New Roman"/>
                <w:sz w:val="20"/>
                <w:szCs w:val="20"/>
                <w:lang w:val="de-AT"/>
              </w:rPr>
              <w:t xml:space="preserve">) LGBl No. 30/1999, available at: </w:t>
            </w:r>
            <w:hyperlink r:id="rId21" w:history="1">
              <w:r w:rsidRPr="00840CC6">
                <w:rPr>
                  <w:rStyle w:val="Hyperlink"/>
                  <w:rFonts w:ascii="Verdana" w:eastAsia="Calibri" w:hAnsi="Verdana" w:cs="Times New Roman"/>
                  <w:sz w:val="20"/>
                  <w:szCs w:val="20"/>
                  <w:lang w:val="de-AT"/>
                </w:rPr>
                <w:t>www.ris.bka.gv.at/Dokument.wxe?Abfrage=LrVbg&amp;Dokumentnummer=LRVB_0601_000_20120817_99999999&amp;ResultFunctionToken=dad19911-55e7-452a-a53a-693149776c85&amp;Position=1&amp;Titel=&amp;Lgblnummer=&amp;Typ=&amp;Index=&amp;FassungVom=03.07.2013&amp;ImRisSeit=Undefined&amp;ResultPageSize=50&amp;Suchworte=Gemeindewahlgesetz</w:t>
              </w:r>
            </w:hyperlink>
          </w:p>
          <w:p w14:paraId="7F6EA413" w14:textId="77777777" w:rsidR="00306B8B" w:rsidRPr="00EA6830" w:rsidRDefault="00306B8B" w:rsidP="00734710">
            <w:pPr>
              <w:pStyle w:val="ListParagraph"/>
              <w:ind w:left="0"/>
              <w:rPr>
                <w:rFonts w:ascii="Verdana" w:eastAsia="Calibri" w:hAnsi="Verdana" w:cs="Times New Roman"/>
                <w:b/>
                <w:sz w:val="20"/>
                <w:szCs w:val="20"/>
                <w:lang w:val="de-AT"/>
              </w:rPr>
            </w:pPr>
          </w:p>
        </w:tc>
      </w:tr>
    </w:tbl>
    <w:p w14:paraId="7F6EA415" w14:textId="77777777" w:rsidR="009D2F9B" w:rsidRPr="00EA6830" w:rsidRDefault="009D2F9B">
      <w:pPr>
        <w:rPr>
          <w:rFonts w:ascii="Verdana" w:eastAsia="Calibri" w:hAnsi="Verdana" w:cs="Times New Roman"/>
          <w:b/>
          <w:sz w:val="20"/>
          <w:szCs w:val="20"/>
          <w:lang w:val="de-AT"/>
        </w:rPr>
      </w:pPr>
    </w:p>
    <w:sectPr w:rsidR="009D2F9B" w:rsidRPr="00EA6830" w:rsidSect="00912C69">
      <w:headerReference w:type="default" r:id="rId22"/>
      <w:footerReference w:type="default" r:id="rId23"/>
      <w:footerReference w:type="firs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C7A6E" w14:textId="77777777" w:rsidR="00D00A60" w:rsidRDefault="00D00A60" w:rsidP="00912C69">
      <w:pPr>
        <w:spacing w:after="0" w:line="240" w:lineRule="auto"/>
      </w:pPr>
      <w:r>
        <w:separator/>
      </w:r>
    </w:p>
  </w:endnote>
  <w:endnote w:type="continuationSeparator" w:id="0">
    <w:p w14:paraId="0441A75F" w14:textId="77777777" w:rsidR="00D00A60" w:rsidRDefault="00D00A60" w:rsidP="00912C69">
      <w:pPr>
        <w:spacing w:after="0" w:line="240" w:lineRule="auto"/>
      </w:pPr>
      <w:r>
        <w:continuationSeparator/>
      </w:r>
    </w:p>
  </w:endnote>
  <w:endnote w:type="continuationNotice" w:id="1">
    <w:p w14:paraId="034C3963" w14:textId="77777777" w:rsidR="00497E20" w:rsidRDefault="00497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OT-Normal">
    <w:altName w:val="MetaOT-Norm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A445" w14:textId="77777777" w:rsidR="00D00A60" w:rsidRDefault="00D00A60">
    <w:pPr>
      <w:pStyle w:val="Footer"/>
      <w:ind w:left="1080"/>
      <w:jc w:val="right"/>
    </w:pPr>
    <w:r>
      <w:fldChar w:fldCharType="begin"/>
    </w:r>
    <w:r>
      <w:instrText xml:space="preserve"> PAGE   \* MERGEFORMAT </w:instrText>
    </w:r>
    <w:r>
      <w:fldChar w:fldCharType="separate"/>
    </w:r>
    <w:r w:rsidR="009B7C7E">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A446" w14:textId="77777777" w:rsidR="00D00A60" w:rsidRDefault="00D00A6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62317" w14:textId="77777777" w:rsidR="00D00A60" w:rsidRDefault="00D00A60" w:rsidP="00912C69">
      <w:pPr>
        <w:spacing w:after="0" w:line="240" w:lineRule="auto"/>
      </w:pPr>
      <w:r>
        <w:separator/>
      </w:r>
    </w:p>
  </w:footnote>
  <w:footnote w:type="continuationSeparator" w:id="0">
    <w:p w14:paraId="456B7EBF" w14:textId="77777777" w:rsidR="00D00A60" w:rsidRDefault="00D00A60" w:rsidP="00912C69">
      <w:pPr>
        <w:spacing w:after="0" w:line="240" w:lineRule="auto"/>
      </w:pPr>
      <w:r>
        <w:continuationSeparator/>
      </w:r>
    </w:p>
  </w:footnote>
  <w:footnote w:type="continuationNotice" w:id="1">
    <w:p w14:paraId="77E457F6" w14:textId="77777777" w:rsidR="00497E20" w:rsidRDefault="00497E20">
      <w:pPr>
        <w:spacing w:after="0" w:line="240" w:lineRule="auto"/>
      </w:pPr>
    </w:p>
  </w:footnote>
  <w:footnote w:id="2">
    <w:p w14:paraId="3C660CEF" w14:textId="54D1C175" w:rsidR="004F70B0" w:rsidRPr="006F5375" w:rsidRDefault="004F70B0">
      <w:pPr>
        <w:pStyle w:val="FootnoteText"/>
      </w:pPr>
      <w:r>
        <w:rPr>
          <w:rStyle w:val="FootnoteReference"/>
        </w:rPr>
        <w:footnoteRef/>
      </w:r>
      <w:r>
        <w:t xml:space="preserve"> UN (2013), Treaty Collection, available at: </w:t>
      </w:r>
      <w:hyperlink r:id="rId1" w:history="1">
        <w:r w:rsidRPr="00306901">
          <w:rPr>
            <w:rStyle w:val="Hyperlink"/>
          </w:rPr>
          <w:t>http://treaties.un.org/Pages/ViewDetails.aspx?src=TREATY&amp;mtdsg_no=IV-15&amp;chapter=4&amp;lang=en</w:t>
        </w:r>
      </w:hyperlink>
      <w:r w:rsidRPr="00840CC6">
        <w:rPr>
          <w:rStyle w:val="Hyperlink"/>
          <w:color w:val="0070C0"/>
        </w:rPr>
        <w:t>.</w:t>
      </w:r>
    </w:p>
  </w:footnote>
  <w:footnote w:id="3">
    <w:p w14:paraId="16074E42" w14:textId="628FA889" w:rsidR="004F70B0" w:rsidRPr="006F5375" w:rsidRDefault="004F70B0">
      <w:pPr>
        <w:pStyle w:val="FootnoteText"/>
      </w:pPr>
      <w:r w:rsidRPr="006F5375">
        <w:rPr>
          <w:rStyle w:val="FootnoteReference"/>
        </w:rPr>
        <w:footnoteRef/>
      </w:r>
      <w:r w:rsidRPr="006F5375">
        <w:t xml:space="preserve"> UN (2013), Treaty Collection, available at:</w:t>
      </w:r>
      <w:r w:rsidRPr="00306901">
        <w:rPr>
          <w:color w:val="0070C0"/>
          <w:u w:val="single"/>
        </w:rPr>
        <w:t xml:space="preserve"> </w:t>
      </w:r>
      <w:hyperlink r:id="rId2" w:history="1">
        <w:r w:rsidRPr="00306901">
          <w:rPr>
            <w:rStyle w:val="Hyperlink"/>
          </w:rPr>
          <w:t>http://treaties.un.org/Pages/ViewDetails.aspx?src=TREATY&amp;mtdsg_no=IV-15&amp;chapter=4&amp;lang=en</w:t>
        </w:r>
      </w:hyperlink>
    </w:p>
  </w:footnote>
  <w:footnote w:id="4">
    <w:p w14:paraId="5D493022" w14:textId="2EEF66CD" w:rsidR="004F70B0" w:rsidRDefault="004F70B0">
      <w:pPr>
        <w:pStyle w:val="FootnoteText"/>
      </w:pPr>
      <w:r w:rsidRPr="006F5375">
        <w:rPr>
          <w:rStyle w:val="FootnoteReference"/>
        </w:rPr>
        <w:footnoteRef/>
      </w:r>
      <w:r w:rsidRPr="006F5375">
        <w:t xml:space="preserve"> UN (2013), Treaty Collection, available at: </w:t>
      </w:r>
      <w:hyperlink r:id="rId3" w:history="1">
        <w:r w:rsidRPr="00306901">
          <w:rPr>
            <w:rStyle w:val="Hyperlink"/>
          </w:rPr>
          <w:t>http://treaties.un.org/Pages/ViewDetails.aspx?src=TREATY&amp;mtdsg_no=IV-15&amp;chapter=4&amp;lang=en</w:t>
        </w:r>
      </w:hyperlink>
    </w:p>
  </w:footnote>
  <w:footnote w:id="5">
    <w:p w14:paraId="7F6EA447" w14:textId="3FBF3434" w:rsidR="004F70B0" w:rsidRPr="00736C20" w:rsidRDefault="004F70B0" w:rsidP="00D71050">
      <w:pPr>
        <w:spacing w:after="0" w:line="240" w:lineRule="auto"/>
        <w:contextualSpacing/>
        <w:rPr>
          <w:rFonts w:ascii="Calibri" w:eastAsia="Calibri" w:hAnsi="Calibri" w:cs="Times New Roman"/>
          <w:sz w:val="20"/>
          <w:szCs w:val="20"/>
          <w:lang w:val="en-GB"/>
        </w:rPr>
      </w:pPr>
      <w:r w:rsidRPr="004C243C">
        <w:rPr>
          <w:rStyle w:val="FootnoteReference"/>
          <w:sz w:val="20"/>
          <w:szCs w:val="20"/>
        </w:rPr>
        <w:footnoteRef/>
      </w:r>
      <w:r w:rsidRPr="004C243C">
        <w:rPr>
          <w:sz w:val="20"/>
          <w:szCs w:val="20"/>
          <w:lang w:val="en-US"/>
        </w:rPr>
        <w:t xml:space="preserve"> </w:t>
      </w:r>
      <w:r w:rsidRPr="00736C20">
        <w:rPr>
          <w:rFonts w:ascii="Calibri" w:eastAsia="Calibri" w:hAnsi="Calibri" w:cs="Times New Roman"/>
          <w:sz w:val="20"/>
          <w:szCs w:val="20"/>
          <w:lang w:val="en-GB"/>
        </w:rPr>
        <w:t>Austria, Federal Act on the Election of the members of the European Parliament (European Election Law) (</w:t>
      </w:r>
      <w:r w:rsidRPr="00736C20">
        <w:rPr>
          <w:rFonts w:ascii="Calibri" w:hAnsi="Calibri" w:cs="Times New Roman"/>
          <w:i/>
          <w:color w:val="000000"/>
          <w:sz w:val="20"/>
          <w:szCs w:val="20"/>
          <w:lang w:val="en-GB"/>
        </w:rPr>
        <w:t>Bundesgesetz über die Wahl der Mitglieder</w:t>
      </w:r>
      <w:r>
        <w:rPr>
          <w:rFonts w:ascii="Calibri" w:hAnsi="Calibri" w:cs="Times New Roman"/>
          <w:i/>
          <w:color w:val="000000"/>
          <w:sz w:val="20"/>
          <w:szCs w:val="20"/>
          <w:lang w:val="en-GB"/>
        </w:rPr>
        <w:t xml:space="preserve"> des Europäischen Parlaments – </w:t>
      </w:r>
      <w:r w:rsidRPr="00736C20">
        <w:rPr>
          <w:rFonts w:ascii="Calibri" w:hAnsi="Calibri" w:cs="Times New Roman"/>
          <w:i/>
          <w:color w:val="000000"/>
          <w:sz w:val="20"/>
          <w:szCs w:val="20"/>
          <w:lang w:val="en-GB"/>
        </w:rPr>
        <w:t>Europawahlordnung – EuWO)</w:t>
      </w:r>
      <w:r w:rsidRPr="00736C20">
        <w:rPr>
          <w:rFonts w:ascii="Calibri" w:eastAsia="Calibri" w:hAnsi="Calibri" w:cs="Times New Roman"/>
          <w:sz w:val="20"/>
          <w:szCs w:val="20"/>
          <w:lang w:val="en-GB"/>
        </w:rPr>
        <w:t xml:space="preserve"> BGBl. No. 117/1996, BGBl 12/2012, available at:</w:t>
      </w:r>
      <w:r w:rsidRPr="00736C20">
        <w:rPr>
          <w:rFonts w:ascii="Calibri" w:hAnsi="Calibri"/>
          <w:sz w:val="20"/>
          <w:szCs w:val="20"/>
          <w:lang w:val="en-GB"/>
        </w:rPr>
        <w:t xml:space="preserve"> </w:t>
      </w:r>
      <w:hyperlink r:id="rId4" w:history="1">
        <w:r w:rsidRPr="00840CC6">
          <w:rPr>
            <w:rStyle w:val="Hyperlink"/>
            <w:sz w:val="20"/>
            <w:szCs w:val="20"/>
          </w:rPr>
          <w:t>www.ris.bka.gv.at/GeltendeFassung.wxe?Abfrage=Bundesnormen&amp;Gesetzesnummer=10001436</w:t>
        </w:r>
      </w:hyperlink>
      <w:r w:rsidRPr="00840CC6">
        <w:rPr>
          <w:rStyle w:val="Hyperlink"/>
          <w:color w:val="0070C0"/>
          <w:sz w:val="20"/>
          <w:szCs w:val="20"/>
        </w:rPr>
        <w:t>.</w:t>
      </w:r>
    </w:p>
  </w:footnote>
  <w:footnote w:id="6">
    <w:p w14:paraId="7F6EA448" w14:textId="77777777" w:rsidR="004F70B0" w:rsidRPr="00736C20" w:rsidRDefault="004F70B0" w:rsidP="00D71050">
      <w:pPr>
        <w:pStyle w:val="FootnoteText"/>
        <w:contextualSpacing/>
        <w:rPr>
          <w:rFonts w:ascii="Calibri" w:eastAsia="Calibri" w:hAnsi="Calibri" w:cs="Times New Roman"/>
          <w:lang w:val="en-US"/>
        </w:rPr>
      </w:pPr>
      <w:r w:rsidRPr="00736C20">
        <w:rPr>
          <w:rStyle w:val="FootnoteReference"/>
          <w:rFonts w:ascii="Calibri" w:hAnsi="Calibri"/>
        </w:rPr>
        <w:footnoteRef/>
      </w:r>
      <w:r w:rsidRPr="00736C20">
        <w:rPr>
          <w:rFonts w:ascii="Calibri" w:hAnsi="Calibri"/>
          <w:lang w:val="en-US"/>
        </w:rPr>
        <w:t xml:space="preserve"> Austria, Federal Act on the Election of the National Assembly – National Assembly Election Law 1992 (</w:t>
      </w:r>
      <w:r w:rsidRPr="00736C20">
        <w:rPr>
          <w:rFonts w:ascii="Calibri" w:hAnsi="Calibri"/>
          <w:i/>
          <w:lang w:val="en-US"/>
        </w:rPr>
        <w:t>Bundesgesetz über die Wahl des Nationalrates – Nationalrats-Wahlordnung 1992 – NRWO</w:t>
      </w:r>
      <w:r w:rsidRPr="00736C20">
        <w:rPr>
          <w:rFonts w:ascii="Calibri" w:hAnsi="Calibri"/>
          <w:lang w:val="en-US"/>
        </w:rPr>
        <w:t>)</w:t>
      </w:r>
      <w:r w:rsidRPr="00736C20">
        <w:rPr>
          <w:rFonts w:ascii="Calibri" w:eastAsia="Calibri" w:hAnsi="Calibri" w:cs="Times New Roman"/>
          <w:lang w:val="en-US"/>
        </w:rPr>
        <w:t xml:space="preserve"> BGBl. No.471/1992, available at: </w:t>
      </w:r>
      <w:r w:rsidRPr="00E56D14">
        <w:rPr>
          <w:rFonts w:ascii="Calibri" w:eastAsia="Calibri" w:hAnsi="Calibri" w:cs="Times New Roman"/>
          <w:lang w:val="en-US"/>
        </w:rPr>
        <w:t>www.ris.bka.gv.at/GeltendeFassung.wxe?Abfrage=Bundesnormen&amp;Gesetzesnummer=10001199</w:t>
      </w:r>
      <w:r>
        <w:rPr>
          <w:rFonts w:ascii="Calibri" w:eastAsia="Calibri" w:hAnsi="Calibri" w:cs="Times New Roman"/>
          <w:lang w:val="en-US"/>
        </w:rPr>
        <w:t>.</w:t>
      </w:r>
    </w:p>
  </w:footnote>
  <w:footnote w:id="7">
    <w:p w14:paraId="7F6EA449" w14:textId="77777777" w:rsidR="004F70B0" w:rsidRPr="00DE5C49" w:rsidRDefault="004F70B0" w:rsidP="00D71050">
      <w:pPr>
        <w:spacing w:after="0" w:line="240" w:lineRule="auto"/>
        <w:contextualSpacing/>
        <w:rPr>
          <w:sz w:val="20"/>
          <w:szCs w:val="20"/>
          <w:lang w:val="en-US"/>
        </w:rPr>
      </w:pPr>
      <w:r>
        <w:rPr>
          <w:rStyle w:val="FootnoteReference"/>
        </w:rPr>
        <w:footnoteRef/>
      </w:r>
      <w:r>
        <w:rPr>
          <w:sz w:val="20"/>
          <w:szCs w:val="20"/>
          <w:lang w:val="en-US"/>
        </w:rPr>
        <w:t xml:space="preserve"> Austria, </w:t>
      </w:r>
      <w:r w:rsidRPr="006202F0">
        <w:rPr>
          <w:sz w:val="20"/>
          <w:szCs w:val="20"/>
          <w:lang w:val="en-US"/>
        </w:rPr>
        <w:t>Act on municipal election in the province of Burgenland</w:t>
      </w:r>
      <w:r>
        <w:rPr>
          <w:sz w:val="20"/>
          <w:szCs w:val="20"/>
          <w:lang w:val="en-US"/>
        </w:rPr>
        <w:t>,</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No.54/1992</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Carinthia, </w:t>
      </w:r>
      <w:r w:rsidRPr="00D27000">
        <w:rPr>
          <w:rFonts w:ascii="Calibri" w:eastAsia="Calibri" w:hAnsi="Calibri" w:cs="Times New Roman"/>
          <w:sz w:val="20"/>
          <w:szCs w:val="20"/>
          <w:lang w:val="en-US"/>
        </w:rPr>
        <w:t>LGBl No. 32/2002</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Lower Austria, </w:t>
      </w:r>
      <w:r w:rsidRPr="00D27000">
        <w:rPr>
          <w:rFonts w:ascii="Calibri" w:eastAsia="Calibri" w:hAnsi="Calibri" w:cs="Times New Roman"/>
          <w:sz w:val="20"/>
          <w:szCs w:val="20"/>
          <w:lang w:val="en-US"/>
        </w:rPr>
        <w:t>LGBl No. 112/1994</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Upper Austria, </w:t>
      </w:r>
      <w:r>
        <w:rPr>
          <w:rFonts w:ascii="Calibri" w:eastAsia="Calibri" w:hAnsi="Calibri" w:cs="Times New Roman"/>
          <w:sz w:val="20"/>
          <w:szCs w:val="20"/>
          <w:lang w:val="en-US"/>
        </w:rPr>
        <w:t>LGBl No. 81/1996</w:t>
      </w:r>
    </w:p>
    <w:p w14:paraId="7F6EA44A" w14:textId="77777777" w:rsidR="004F70B0" w:rsidRPr="00ED0042" w:rsidRDefault="004F70B0" w:rsidP="00D71050">
      <w:pPr>
        <w:spacing w:after="0" w:line="240" w:lineRule="auto"/>
        <w:contextualSpacing/>
        <w:rPr>
          <w:sz w:val="20"/>
          <w:szCs w:val="20"/>
          <w:lang w:val="en-US"/>
        </w:rPr>
      </w:pP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Salzburg, </w:t>
      </w:r>
      <w:r>
        <w:rPr>
          <w:rFonts w:ascii="Calibri" w:eastAsia="Calibri" w:hAnsi="Calibri" w:cs="Times New Roman"/>
          <w:sz w:val="20"/>
          <w:szCs w:val="20"/>
          <w:lang w:val="en-US"/>
        </w:rPr>
        <w:t xml:space="preserve">LGBl No. 117/1998;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Styria,</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 59/2009</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Graz, </w:t>
      </w:r>
      <w:r w:rsidRPr="00DE5C49">
        <w:rPr>
          <w:sz w:val="20"/>
          <w:szCs w:val="20"/>
          <w:lang w:val="en-US"/>
        </w:rPr>
        <w:t>LGBl No. 86/2012</w:t>
      </w:r>
      <w:r>
        <w:rPr>
          <w:sz w:val="20"/>
          <w:szCs w:val="20"/>
          <w:lang w:val="en-US"/>
        </w:rPr>
        <w:t xml:space="preserve">; Austria, </w:t>
      </w:r>
      <w:r w:rsidRPr="006202F0">
        <w:rPr>
          <w:sz w:val="20"/>
          <w:szCs w:val="20"/>
          <w:lang w:val="en-US"/>
        </w:rPr>
        <w:t>Act on municipal election in the province of</w:t>
      </w:r>
      <w:r>
        <w:rPr>
          <w:sz w:val="20"/>
          <w:szCs w:val="20"/>
          <w:lang w:val="en-US"/>
        </w:rPr>
        <w:t xml:space="preserve"> Tyrol, </w:t>
      </w:r>
      <w:r w:rsidRPr="00D27000">
        <w:rPr>
          <w:rFonts w:ascii="Calibri" w:eastAsia="Calibri" w:hAnsi="Calibri" w:cs="Times New Roman"/>
          <w:sz w:val="20"/>
          <w:szCs w:val="20"/>
          <w:lang w:val="en-US"/>
        </w:rPr>
        <w:t>LGBl No. 88/1994</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Vienna, </w:t>
      </w:r>
      <w:r w:rsidRPr="00D27000">
        <w:rPr>
          <w:rFonts w:ascii="Calibri" w:eastAsia="Calibri" w:hAnsi="Calibri" w:cs="Times New Roman"/>
          <w:sz w:val="20"/>
          <w:szCs w:val="20"/>
          <w:lang w:val="en-US"/>
        </w:rPr>
        <w:t>LGBl No. 16/1996</w:t>
      </w:r>
      <w:r>
        <w:rPr>
          <w:rFonts w:ascii="Calibri" w:eastAsia="Calibri" w:hAnsi="Calibri" w:cs="Times New Roman"/>
          <w:sz w:val="20"/>
          <w:szCs w:val="20"/>
          <w:lang w:val="en-US"/>
        </w:rPr>
        <w:t>;</w:t>
      </w:r>
      <w:r>
        <w:rPr>
          <w:sz w:val="20"/>
          <w:szCs w:val="20"/>
          <w:lang w:val="en-US"/>
        </w:rPr>
        <w:t xml:space="preserve"> Austria, </w:t>
      </w:r>
      <w:r w:rsidRPr="006202F0">
        <w:rPr>
          <w:sz w:val="20"/>
          <w:szCs w:val="20"/>
          <w:lang w:val="en-US"/>
        </w:rPr>
        <w:t>Act on municipal election in the province of</w:t>
      </w:r>
      <w:r>
        <w:rPr>
          <w:sz w:val="20"/>
          <w:szCs w:val="20"/>
          <w:lang w:val="en-US"/>
        </w:rPr>
        <w:t xml:space="preserve"> Vorarlberg, </w:t>
      </w:r>
      <w:r w:rsidRPr="00D27000">
        <w:rPr>
          <w:rFonts w:ascii="Calibri" w:eastAsia="Calibri" w:hAnsi="Calibri" w:cs="Times New Roman"/>
          <w:sz w:val="20"/>
          <w:szCs w:val="20"/>
          <w:lang w:val="en-US"/>
        </w:rPr>
        <w:t>LGBl No. 30/1999</w:t>
      </w:r>
      <w:r>
        <w:rPr>
          <w:rFonts w:ascii="Calibri" w:eastAsia="Calibri" w:hAnsi="Calibri" w:cs="Times New Roman"/>
          <w:sz w:val="20"/>
          <w:szCs w:val="20"/>
          <w:lang w:val="en-US"/>
        </w:rPr>
        <w:t xml:space="preserve">. </w:t>
      </w:r>
      <w:r>
        <w:rPr>
          <w:sz w:val="20"/>
          <w:szCs w:val="20"/>
          <w:lang w:val="en-US"/>
        </w:rPr>
        <w:t xml:space="preserve">The full quotation of the provincial legislation on municipal election is given in the </w:t>
      </w:r>
      <w:r w:rsidRPr="00036D45">
        <w:rPr>
          <w:sz w:val="20"/>
          <w:szCs w:val="20"/>
          <w:lang w:val="en-US"/>
        </w:rPr>
        <w:t>annex:</w:t>
      </w:r>
      <w:r>
        <w:rPr>
          <w:sz w:val="20"/>
          <w:szCs w:val="20"/>
          <w:lang w:val="en-US"/>
        </w:rPr>
        <w:t xml:space="preserve"> Table 2.</w:t>
      </w:r>
    </w:p>
  </w:footnote>
  <w:footnote w:id="8">
    <w:p w14:paraId="7F6EA44B" w14:textId="391E38F0" w:rsidR="004F70B0" w:rsidRPr="001336A1" w:rsidRDefault="004F70B0" w:rsidP="00D71050">
      <w:pPr>
        <w:spacing w:after="0" w:line="240" w:lineRule="auto"/>
        <w:contextualSpacing/>
        <w:rPr>
          <w:rFonts w:eastAsia="Calibri" w:cs="Times New Roman"/>
          <w:sz w:val="20"/>
          <w:szCs w:val="20"/>
          <w:lang w:val="en-US"/>
        </w:rPr>
      </w:pPr>
      <w:r w:rsidRPr="00736C20">
        <w:rPr>
          <w:rStyle w:val="FootnoteReference"/>
          <w:rFonts w:ascii="Calibri" w:hAnsi="Calibri"/>
        </w:rPr>
        <w:footnoteRef/>
      </w:r>
      <w:r w:rsidRPr="00F54C79">
        <w:rPr>
          <w:rFonts w:ascii="Calibri" w:hAnsi="Calibri"/>
          <w:lang w:val="en-US"/>
        </w:rPr>
        <w:t xml:space="preserve"> </w:t>
      </w:r>
      <w:r w:rsidRPr="00230B5E">
        <w:rPr>
          <w:rFonts w:eastAsia="Calibri" w:cs="Times New Roman"/>
          <w:sz w:val="20"/>
          <w:szCs w:val="20"/>
          <w:lang w:val="en-US"/>
        </w:rPr>
        <w:t>Austria, Parliament (</w:t>
      </w:r>
      <w:r w:rsidRPr="000A5786">
        <w:rPr>
          <w:rFonts w:eastAsia="Calibri" w:cs="Times New Roman"/>
          <w:i/>
          <w:sz w:val="20"/>
          <w:szCs w:val="20"/>
          <w:lang w:val="en-US"/>
        </w:rPr>
        <w:t>Parlament</w:t>
      </w:r>
      <w:r w:rsidRPr="00230B5E">
        <w:rPr>
          <w:rFonts w:eastAsia="Calibri" w:cs="Times New Roman"/>
          <w:sz w:val="20"/>
          <w:szCs w:val="20"/>
          <w:lang w:val="en-US"/>
        </w:rPr>
        <w:t>) (2013), Resolution of the National Assembly of</w:t>
      </w:r>
      <w:r>
        <w:rPr>
          <w:rFonts w:eastAsia="Calibri" w:cs="Times New Roman"/>
          <w:sz w:val="20"/>
          <w:szCs w:val="20"/>
          <w:lang w:val="en-US"/>
        </w:rPr>
        <w:t xml:space="preserve"> 13</w:t>
      </w:r>
      <w:r w:rsidRPr="00230B5E">
        <w:rPr>
          <w:rFonts w:eastAsia="Calibri" w:cs="Times New Roman"/>
          <w:sz w:val="20"/>
          <w:szCs w:val="20"/>
          <w:lang w:val="en-US"/>
        </w:rPr>
        <w:t xml:space="preserve"> June 2013</w:t>
      </w:r>
      <w:r>
        <w:rPr>
          <w:rFonts w:eastAsia="Calibri" w:cs="Times New Roman"/>
          <w:sz w:val="20"/>
          <w:szCs w:val="20"/>
          <w:lang w:val="en-US"/>
        </w:rPr>
        <w:t xml:space="preserve"> </w:t>
      </w:r>
      <w:r w:rsidRPr="00230B5E">
        <w:rPr>
          <w:rFonts w:eastAsia="Calibri" w:cs="Times New Roman"/>
          <w:sz w:val="20"/>
          <w:szCs w:val="20"/>
          <w:lang w:val="en-US"/>
        </w:rPr>
        <w:t>(</w:t>
      </w:r>
      <w:r w:rsidRPr="00230B5E">
        <w:rPr>
          <w:rFonts w:eastAsia="Calibri" w:cs="Times New Roman"/>
          <w:i/>
          <w:sz w:val="20"/>
          <w:szCs w:val="20"/>
          <w:lang w:val="en-US"/>
        </w:rPr>
        <w:t>Beschluss des Nationalrats vom 13. Juni 2013</w:t>
      </w:r>
      <w:r w:rsidRPr="00230B5E">
        <w:rPr>
          <w:rFonts w:eastAsia="Calibri" w:cs="Times New Roman"/>
          <w:sz w:val="20"/>
          <w:szCs w:val="20"/>
          <w:lang w:val="en-US"/>
        </w:rPr>
        <w:t xml:space="preserve">), available at: </w:t>
      </w:r>
      <w:hyperlink r:id="rId5" w:history="1">
        <w:r w:rsidRPr="00840CC6">
          <w:rPr>
            <w:rStyle w:val="Hyperlink"/>
            <w:sz w:val="20"/>
            <w:szCs w:val="20"/>
          </w:rPr>
          <w:t>www.parlament.gv.at/PAKT/VHG/XXIV/BNR/BNR_00767/fname_310150.pdf</w:t>
        </w:r>
      </w:hyperlink>
    </w:p>
  </w:footnote>
  <w:footnote w:id="9">
    <w:p w14:paraId="7F6EA44C" w14:textId="3B451AD0" w:rsidR="004F70B0" w:rsidRPr="00A20063" w:rsidRDefault="004F70B0" w:rsidP="00D71050">
      <w:pPr>
        <w:spacing w:after="0" w:line="240" w:lineRule="auto"/>
        <w:contextualSpacing/>
        <w:rPr>
          <w:rFonts w:ascii="Times New Roman" w:eastAsia="Calibri" w:hAnsi="Times New Roman" w:cs="Times New Roman"/>
          <w:sz w:val="20"/>
          <w:szCs w:val="20"/>
          <w:lang w:val="de-AT"/>
        </w:rPr>
      </w:pPr>
      <w:r w:rsidRPr="00736C20">
        <w:rPr>
          <w:rStyle w:val="FootnoteReference"/>
          <w:rFonts w:ascii="Calibri" w:hAnsi="Calibri"/>
          <w:sz w:val="20"/>
          <w:szCs w:val="20"/>
        </w:rPr>
        <w:footnoteRef/>
      </w:r>
      <w:r w:rsidRPr="00736C20">
        <w:rPr>
          <w:rFonts w:ascii="Calibri" w:hAnsi="Calibri"/>
          <w:sz w:val="20"/>
          <w:szCs w:val="20"/>
          <w:lang w:val="de-AT"/>
        </w:rPr>
        <w:t xml:space="preserve"> Austria, </w:t>
      </w:r>
      <w:r w:rsidRPr="00736C20">
        <w:rPr>
          <w:rFonts w:ascii="Calibri" w:eastAsia="Calibri" w:hAnsi="Calibri" w:cs="Times New Roman"/>
          <w:sz w:val="20"/>
          <w:szCs w:val="20"/>
          <w:lang w:val="de-AT"/>
        </w:rPr>
        <w:t>Federal Chancellor’s Office (</w:t>
      </w:r>
      <w:r w:rsidRPr="00736C20">
        <w:rPr>
          <w:rFonts w:ascii="Calibri" w:eastAsia="Calibri" w:hAnsi="Calibri" w:cs="Times New Roman"/>
          <w:i/>
          <w:sz w:val="20"/>
          <w:szCs w:val="20"/>
          <w:lang w:val="de-AT"/>
        </w:rPr>
        <w:t>Bundeskanzleramt</w:t>
      </w:r>
      <w:r w:rsidRPr="00736C20">
        <w:rPr>
          <w:rFonts w:ascii="Calibri" w:eastAsia="Calibri" w:hAnsi="Calibri" w:cs="Times New Roman"/>
          <w:sz w:val="20"/>
          <w:szCs w:val="20"/>
          <w:lang w:val="de-AT"/>
        </w:rPr>
        <w:t>) (2013), General Information for the Registration of Eligible Voters</w:t>
      </w:r>
      <w:r>
        <w:rPr>
          <w:rFonts w:ascii="Calibri" w:eastAsia="Calibri" w:hAnsi="Calibri" w:cs="Times New Roman"/>
          <w:sz w:val="20"/>
          <w:szCs w:val="20"/>
          <w:lang w:val="de-AT"/>
        </w:rPr>
        <w:t xml:space="preserve"> (</w:t>
      </w:r>
      <w:r w:rsidRPr="00736C20">
        <w:rPr>
          <w:rFonts w:ascii="Calibri" w:eastAsia="Calibri" w:hAnsi="Calibri" w:cs="Times New Roman"/>
          <w:i/>
          <w:sz w:val="20"/>
          <w:szCs w:val="20"/>
          <w:lang w:val="de-AT"/>
        </w:rPr>
        <w:t>Allgemeines zur Erfassung der Wahlberechtigten</w:t>
      </w:r>
      <w:r>
        <w:rPr>
          <w:rFonts w:ascii="Calibri" w:eastAsia="Calibri" w:hAnsi="Calibri" w:cs="Times New Roman"/>
          <w:sz w:val="20"/>
          <w:szCs w:val="20"/>
          <w:lang w:val="de-AT"/>
        </w:rPr>
        <w:t>)</w:t>
      </w:r>
      <w:r w:rsidRPr="00736C20">
        <w:rPr>
          <w:rFonts w:ascii="Calibri" w:eastAsia="Calibri" w:hAnsi="Calibri" w:cs="Times New Roman"/>
          <w:sz w:val="20"/>
          <w:szCs w:val="20"/>
          <w:lang w:val="de-AT"/>
        </w:rPr>
        <w:t xml:space="preserve">, available at: </w:t>
      </w:r>
      <w:hyperlink r:id="rId6" w:history="1">
        <w:r w:rsidRPr="00840CC6">
          <w:rPr>
            <w:rStyle w:val="Hyperlink"/>
            <w:sz w:val="20"/>
            <w:szCs w:val="20"/>
          </w:rPr>
          <w:t>www.help.gv.at/Portal.Node/hlpd/public/content/32/Seite.320340.html</w:t>
        </w:r>
      </w:hyperlink>
    </w:p>
  </w:footnote>
  <w:footnote w:id="10">
    <w:p w14:paraId="4B6543E6" w14:textId="1F870C2B" w:rsidR="004F70B0" w:rsidRPr="00B510C6" w:rsidRDefault="004F70B0">
      <w:pPr>
        <w:pStyle w:val="FootnoteText"/>
        <w:rPr>
          <w:lang w:val="de-AT"/>
        </w:rPr>
      </w:pPr>
      <w:r>
        <w:rPr>
          <w:rStyle w:val="FootnoteReference"/>
        </w:rPr>
        <w:footnoteRef/>
      </w:r>
      <w:r w:rsidRPr="00B510C6">
        <w:rPr>
          <w:lang w:val="de-AT"/>
        </w:rPr>
        <w:t xml:space="preserve"> Austria, Constitutional Law (Bundes-Verfassungsgesetz, B-VG), consolidated version, available at: </w:t>
      </w:r>
      <w:hyperlink r:id="rId7" w:history="1">
        <w:r w:rsidRPr="00B510C6">
          <w:rPr>
            <w:rStyle w:val="Hyperlink"/>
            <w:lang w:val="de-AT"/>
          </w:rPr>
          <w:t>https://www.ris.bka.gv.at/GeltendeFassung.wxe?Abfrage=Bundesnormen&amp;Gesetzesnummer=10000138</w:t>
        </w:r>
      </w:hyperlink>
      <w:r w:rsidRPr="00B510C6">
        <w:rPr>
          <w:color w:val="0070C0"/>
          <w:lang w:val="de-AT"/>
        </w:rPr>
        <w:t xml:space="preserve"> </w:t>
      </w:r>
    </w:p>
  </w:footnote>
  <w:footnote w:id="11">
    <w:p w14:paraId="17F93450" w14:textId="12290371" w:rsidR="004F70B0" w:rsidRDefault="004F70B0">
      <w:pPr>
        <w:pStyle w:val="FootnoteText"/>
      </w:pPr>
      <w:r>
        <w:rPr>
          <w:rStyle w:val="FootnoteReference"/>
        </w:rPr>
        <w:footnoteRef/>
      </w:r>
      <w:r>
        <w:t xml:space="preserve"> </w:t>
      </w:r>
      <w:r w:rsidRPr="00376456">
        <w:rPr>
          <w:rFonts w:cstheme="minorHAnsi"/>
        </w:rPr>
        <w:t>FRA</w:t>
      </w:r>
      <w:r>
        <w:rPr>
          <w:rFonts w:cstheme="minorHAnsi"/>
        </w:rPr>
        <w:t xml:space="preserve"> (2010),</w:t>
      </w:r>
      <w:r w:rsidRPr="00376456">
        <w:rPr>
          <w:rFonts w:cstheme="minorHAnsi"/>
        </w:rPr>
        <w:t xml:space="preserve"> </w:t>
      </w:r>
      <w:r w:rsidRPr="00376456">
        <w:rPr>
          <w:rFonts w:cstheme="minorHAnsi"/>
          <w:bCs/>
          <w:i/>
        </w:rPr>
        <w:t>The right to political participation of persons with mental health problems and persons with intellectual disabilities</w:t>
      </w:r>
      <w:r w:rsidRPr="00376456">
        <w:rPr>
          <w:rFonts w:cstheme="minorHAnsi"/>
          <w:bCs/>
        </w:rPr>
        <w:t xml:space="preserve">, </w:t>
      </w:r>
      <w:r w:rsidRPr="00376456">
        <w:rPr>
          <w:rFonts w:cstheme="minorHAnsi"/>
        </w:rPr>
        <w:t>p.18</w:t>
      </w:r>
    </w:p>
  </w:footnote>
  <w:footnote w:id="12">
    <w:p w14:paraId="7F6EA44D" w14:textId="77777777" w:rsidR="004F70B0" w:rsidRPr="0064170F" w:rsidRDefault="004F70B0" w:rsidP="00D71050">
      <w:pPr>
        <w:spacing w:after="0" w:line="240" w:lineRule="auto"/>
        <w:contextualSpacing/>
        <w:rPr>
          <w:lang w:val="en-US"/>
        </w:rPr>
      </w:pPr>
      <w:r>
        <w:rPr>
          <w:rStyle w:val="FootnoteReference"/>
        </w:rPr>
        <w:footnoteRef/>
      </w:r>
      <w:r>
        <w:rPr>
          <w:sz w:val="20"/>
          <w:szCs w:val="20"/>
          <w:lang w:val="en-US"/>
        </w:rPr>
        <w:t xml:space="preserve"> Austria, </w:t>
      </w:r>
      <w:r w:rsidRPr="006202F0">
        <w:rPr>
          <w:sz w:val="20"/>
          <w:szCs w:val="20"/>
          <w:lang w:val="en-US"/>
        </w:rPr>
        <w:t>Act on municipal election in the province of Burgenland</w:t>
      </w:r>
      <w:r>
        <w:rPr>
          <w:sz w:val="20"/>
          <w:szCs w:val="20"/>
          <w:lang w:val="en-US"/>
        </w:rPr>
        <w:t>,</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No.54/1992</w:t>
      </w:r>
      <w:r>
        <w:rPr>
          <w:rFonts w:ascii="Calibri" w:eastAsia="Calibri" w:hAnsi="Calibri" w:cs="Times New Roman"/>
          <w:sz w:val="20"/>
          <w:szCs w:val="20"/>
          <w:lang w:val="en-US"/>
        </w:rPr>
        <w:t xml:space="preserve"> [§30a];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Carinthia, </w:t>
      </w:r>
      <w:r w:rsidRPr="00D27000">
        <w:rPr>
          <w:rFonts w:ascii="Calibri" w:eastAsia="Calibri" w:hAnsi="Calibri" w:cs="Times New Roman"/>
          <w:sz w:val="20"/>
          <w:szCs w:val="20"/>
          <w:lang w:val="en-US"/>
        </w:rPr>
        <w:t>LGBl No. 32/2002</w:t>
      </w:r>
      <w:r>
        <w:rPr>
          <w:rFonts w:ascii="Calibri" w:eastAsia="Calibri" w:hAnsi="Calibri" w:cs="Times New Roman"/>
          <w:sz w:val="20"/>
          <w:szCs w:val="20"/>
          <w:lang w:val="en-US"/>
        </w:rPr>
        <w:t xml:space="preserve"> [§6/ §36];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Lower Austria, </w:t>
      </w:r>
      <w:r w:rsidRPr="00D27000">
        <w:rPr>
          <w:rFonts w:ascii="Calibri" w:eastAsia="Calibri" w:hAnsi="Calibri" w:cs="Times New Roman"/>
          <w:sz w:val="20"/>
          <w:szCs w:val="20"/>
          <w:lang w:val="en-US"/>
        </w:rPr>
        <w:t>LGBl No. 112/1994</w:t>
      </w:r>
      <w:r>
        <w:rPr>
          <w:rFonts w:ascii="Calibri" w:eastAsia="Calibri" w:hAnsi="Calibri" w:cs="Times New Roman"/>
          <w:sz w:val="20"/>
          <w:szCs w:val="20"/>
          <w:lang w:val="en-US"/>
        </w:rPr>
        <w:t xml:space="preserve"> [§11/§38];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Upper Austria, </w:t>
      </w:r>
      <w:r>
        <w:rPr>
          <w:rFonts w:ascii="Calibri" w:eastAsia="Calibri" w:hAnsi="Calibri" w:cs="Times New Roman"/>
          <w:sz w:val="20"/>
          <w:szCs w:val="20"/>
          <w:lang w:val="en-US"/>
        </w:rPr>
        <w:t xml:space="preserve">LGBl No. 81/1996 [§55/§56];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Salzburg, </w:t>
      </w:r>
      <w:r>
        <w:rPr>
          <w:rFonts w:ascii="Calibri" w:eastAsia="Calibri" w:hAnsi="Calibri" w:cs="Times New Roman"/>
          <w:sz w:val="20"/>
          <w:szCs w:val="20"/>
          <w:lang w:val="en-US"/>
        </w:rPr>
        <w:t xml:space="preserve">LGBl No. 117/1998 [§63/§64];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Styria,</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 59/2009</w:t>
      </w:r>
      <w:r>
        <w:rPr>
          <w:rFonts w:ascii="Calibri" w:eastAsia="Calibri" w:hAnsi="Calibri" w:cs="Times New Roman"/>
          <w:sz w:val="20"/>
          <w:szCs w:val="20"/>
          <w:lang w:val="en-US"/>
        </w:rPr>
        <w:t xml:space="preserve"> [§67/§68];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Graz, </w:t>
      </w:r>
      <w:r w:rsidRPr="00DE5C49">
        <w:rPr>
          <w:sz w:val="20"/>
          <w:szCs w:val="20"/>
          <w:lang w:val="en-US"/>
        </w:rPr>
        <w:t>LGBl No. 86/2012</w:t>
      </w:r>
      <w:r>
        <w:rPr>
          <w:sz w:val="20"/>
          <w:szCs w:val="20"/>
          <w:lang w:val="en-US"/>
        </w:rPr>
        <w:t xml:space="preserve"> [§65/§66]; Austria, </w:t>
      </w:r>
      <w:r w:rsidRPr="006202F0">
        <w:rPr>
          <w:sz w:val="20"/>
          <w:szCs w:val="20"/>
          <w:lang w:val="en-US"/>
        </w:rPr>
        <w:t>Act on municipal election in the province of</w:t>
      </w:r>
      <w:r>
        <w:rPr>
          <w:sz w:val="20"/>
          <w:szCs w:val="20"/>
          <w:lang w:val="en-US"/>
        </w:rPr>
        <w:t xml:space="preserve"> Tyrol, </w:t>
      </w:r>
      <w:r w:rsidRPr="00D71050">
        <w:rPr>
          <w:sz w:val="20"/>
          <w:szCs w:val="20"/>
          <w:lang w:val="en-US"/>
        </w:rPr>
        <w:t>LGBl No. 88/1994 [§53/§54]; Austria, Act on municipal election in the province of the City of Vienna, LGBl No. 16/1996 [§70/§71]; Austria, Act on municipal election in the province of Vorarlberg, LGBl No. 30/1999 [§4(3)/§5(3)/§32(5)].</w:t>
      </w:r>
      <w:r>
        <w:rPr>
          <w:sz w:val="20"/>
          <w:szCs w:val="20"/>
          <w:lang w:val="en-US"/>
        </w:rPr>
        <w:t xml:space="preserve"> </w:t>
      </w:r>
    </w:p>
  </w:footnote>
  <w:footnote w:id="13">
    <w:p w14:paraId="21E7ABD8" w14:textId="66887A64" w:rsidR="004F70B0" w:rsidRPr="0080762D" w:rsidRDefault="004F70B0" w:rsidP="005B3AC5">
      <w:pPr>
        <w:rPr>
          <w:rFonts w:ascii="Times New Roman" w:hAnsi="Times New Roman" w:cs="Times New Roman"/>
          <w:szCs w:val="18"/>
        </w:rPr>
      </w:pPr>
      <w:r w:rsidRPr="0080762D">
        <w:rPr>
          <w:rStyle w:val="FootnoteReference"/>
          <w:rFonts w:ascii="Times New Roman" w:hAnsi="Times New Roman" w:cs="Times New Roman"/>
          <w:szCs w:val="18"/>
        </w:rPr>
        <w:footnoteRef/>
      </w:r>
      <w:r w:rsidRPr="0080762D">
        <w:rPr>
          <w:rFonts w:ascii="Times New Roman" w:hAnsi="Times New Roman" w:cs="Times New Roman"/>
          <w:szCs w:val="18"/>
        </w:rPr>
        <w:t xml:space="preserve"> </w:t>
      </w:r>
      <w:r w:rsidRPr="00583F30">
        <w:rPr>
          <w:sz w:val="20"/>
          <w:szCs w:val="20"/>
          <w:lang w:val="en-US"/>
        </w:rPr>
        <w:t>Austria, Parliament (Parlament) (2013), Resolution of the National Assembly of 13 June 2013 (</w:t>
      </w:r>
      <w:r w:rsidRPr="00583F30">
        <w:rPr>
          <w:i/>
          <w:sz w:val="20"/>
          <w:szCs w:val="20"/>
          <w:lang w:val="en-US"/>
        </w:rPr>
        <w:t>Beschluss des Nationalrats vom 13. Juni 2013</w:t>
      </w:r>
      <w:r w:rsidRPr="00583F30">
        <w:rPr>
          <w:sz w:val="20"/>
          <w:szCs w:val="20"/>
          <w:lang w:val="en-US"/>
        </w:rPr>
        <w:t xml:space="preserve">), available at: </w:t>
      </w:r>
      <w:hyperlink r:id="rId8" w:history="1">
        <w:r w:rsidRPr="00840CC6">
          <w:rPr>
            <w:rStyle w:val="Hyperlink"/>
            <w:sz w:val="20"/>
            <w:szCs w:val="20"/>
            <w:lang w:val="en-US"/>
          </w:rPr>
          <w:t>www.parlament.gv.at/PAKT/VHG/XXIV/BNR/BNR_00767/fname_310150.pdf</w:t>
        </w:r>
      </w:hyperlink>
    </w:p>
  </w:footnote>
  <w:footnote w:id="14">
    <w:p w14:paraId="203881FB" w14:textId="31EAAC8C" w:rsidR="004F70B0" w:rsidRPr="00E57A18" w:rsidRDefault="004F70B0" w:rsidP="00EA04F8">
      <w:pPr>
        <w:pStyle w:val="FootnoteText"/>
        <w:contextualSpacing/>
        <w:rPr>
          <w:lang w:val="de-AT"/>
        </w:rPr>
      </w:pPr>
      <w:r w:rsidRPr="00E57A18">
        <w:rPr>
          <w:rStyle w:val="FootnoteReference"/>
          <w:rFonts w:cs="Times New Roman"/>
        </w:rPr>
        <w:footnoteRef/>
      </w:r>
      <w:r w:rsidRPr="00E57A18">
        <w:rPr>
          <w:rFonts w:cs="Times New Roman"/>
          <w:lang w:val="de-AT"/>
        </w:rPr>
        <w:t xml:space="preserve"> Austria, Federal </w:t>
      </w:r>
      <w:r>
        <w:rPr>
          <w:rFonts w:cs="Times New Roman"/>
          <w:lang w:val="de-AT"/>
        </w:rPr>
        <w:t xml:space="preserve">Disability Equality Act </w:t>
      </w:r>
      <w:r w:rsidRPr="00E57A18">
        <w:rPr>
          <w:rFonts w:cs="Times New Roman"/>
          <w:lang w:val="de-AT"/>
        </w:rPr>
        <w:t xml:space="preserve"> (</w:t>
      </w:r>
      <w:r w:rsidRPr="00E57A18">
        <w:rPr>
          <w:rFonts w:cs="Times New Roman"/>
          <w:i/>
          <w:lang w:val="de-AT"/>
        </w:rPr>
        <w:t xml:space="preserve">Bundesgesetz über die Gleichstellung von Menschen mit Behinderung – </w:t>
      </w:r>
      <w:r>
        <w:rPr>
          <w:rFonts w:cs="Times New Roman"/>
          <w:i/>
          <w:lang w:val="de-AT"/>
        </w:rPr>
        <w:t xml:space="preserve">Bundes - </w:t>
      </w:r>
      <w:r w:rsidRPr="00E57A18">
        <w:rPr>
          <w:rFonts w:cs="Times New Roman"/>
          <w:i/>
          <w:lang w:val="de-AT"/>
        </w:rPr>
        <w:t>Behindertengleichstellungsgesetz – BGStG</w:t>
      </w:r>
      <w:r>
        <w:rPr>
          <w:rFonts w:cs="Times New Roman"/>
          <w:lang w:val="de-AT"/>
        </w:rPr>
        <w:t>)</w:t>
      </w:r>
      <w:r w:rsidRPr="00E57A18">
        <w:rPr>
          <w:rFonts w:cs="Times New Roman"/>
          <w:lang w:val="de-AT"/>
        </w:rPr>
        <w:t xml:space="preserve"> BGBl. No. 82/2005, available at: </w:t>
      </w:r>
      <w:hyperlink r:id="rId9" w:history="1">
        <w:r w:rsidRPr="00D025E6">
          <w:rPr>
            <w:rStyle w:val="Hyperlink"/>
            <w:lang w:val="de-AT"/>
          </w:rPr>
          <w:t>www.ris.bka.gv.at/GeltendeFassung.wxe?Abfrage=Bundesnormen&amp;Gesetzesnummer=20004228</w:t>
        </w:r>
      </w:hyperlink>
      <w:r>
        <w:rPr>
          <w:lang w:val="de-AT"/>
        </w:rPr>
        <w:t xml:space="preserve"> </w:t>
      </w:r>
    </w:p>
  </w:footnote>
  <w:footnote w:id="15">
    <w:p w14:paraId="32DF3E98" w14:textId="6AD3E416" w:rsidR="004F70B0" w:rsidRPr="00F761C3" w:rsidRDefault="004F70B0" w:rsidP="00EA04F8">
      <w:pPr>
        <w:spacing w:after="0" w:line="240" w:lineRule="auto"/>
        <w:contextualSpacing/>
        <w:rPr>
          <w:rFonts w:eastAsia="Calibri" w:cs="Times New Roman"/>
          <w:sz w:val="20"/>
          <w:szCs w:val="20"/>
          <w:lang w:val="de-AT"/>
        </w:rPr>
      </w:pPr>
      <w:r w:rsidRPr="00E57A18">
        <w:rPr>
          <w:rStyle w:val="FootnoteReference"/>
          <w:sz w:val="20"/>
          <w:szCs w:val="20"/>
        </w:rPr>
        <w:footnoteRef/>
      </w:r>
      <w:r w:rsidRPr="00CC08D3">
        <w:rPr>
          <w:sz w:val="20"/>
          <w:szCs w:val="20"/>
        </w:rPr>
        <w:t xml:space="preserve"> Austria, </w:t>
      </w:r>
      <w:r w:rsidRPr="00CC08D3">
        <w:rPr>
          <w:rFonts w:eastAsia="Calibri" w:cs="Times New Roman"/>
          <w:sz w:val="20"/>
          <w:szCs w:val="20"/>
        </w:rPr>
        <w:t xml:space="preserve">BMASK (2012), National Action Plan on Disability 2012-2020. Strategy of the Austrian Federal Government for </w:t>
      </w:r>
      <w:r>
        <w:rPr>
          <w:rFonts w:eastAsia="Calibri" w:cs="Times New Roman"/>
          <w:sz w:val="20"/>
          <w:szCs w:val="20"/>
        </w:rPr>
        <w:t>the Implementation of the UN Di</w:t>
      </w:r>
      <w:r w:rsidRPr="00CC08D3">
        <w:rPr>
          <w:rFonts w:eastAsia="Calibri" w:cs="Times New Roman"/>
          <w:sz w:val="20"/>
          <w:szCs w:val="20"/>
        </w:rPr>
        <w:t xml:space="preserve">sability Rights Convention </w:t>
      </w:r>
      <w:r>
        <w:rPr>
          <w:rFonts w:eastAsia="Calibri" w:cs="Times New Roman"/>
          <w:sz w:val="20"/>
          <w:szCs w:val="20"/>
        </w:rPr>
        <w:t>(</w:t>
      </w:r>
      <w:r w:rsidRPr="00CC08D3">
        <w:rPr>
          <w:rFonts w:eastAsia="Calibri" w:cs="Times New Roman"/>
          <w:i/>
          <w:sz w:val="20"/>
          <w:szCs w:val="20"/>
        </w:rPr>
        <w:t xml:space="preserve">Nationaler Aktionsplan Behinderung 2012-2020. </w:t>
      </w:r>
      <w:r w:rsidRPr="00F761C3">
        <w:rPr>
          <w:rFonts w:eastAsia="Calibri" w:cs="Times New Roman"/>
          <w:i/>
          <w:sz w:val="20"/>
          <w:szCs w:val="20"/>
          <w:lang w:val="de-AT"/>
        </w:rPr>
        <w:t>Strategie der Österreichischen Bundesregierung zur Umsetzung der UN-Behindertenrechtskonvention</w:t>
      </w:r>
      <w:r>
        <w:rPr>
          <w:rFonts w:eastAsia="Calibri" w:cs="Times New Roman"/>
          <w:sz w:val="20"/>
          <w:szCs w:val="20"/>
          <w:lang w:val="de-AT"/>
        </w:rPr>
        <w:t>)</w:t>
      </w:r>
      <w:r w:rsidRPr="00F761C3">
        <w:rPr>
          <w:rFonts w:eastAsia="Calibri" w:cs="Times New Roman"/>
          <w:sz w:val="20"/>
          <w:szCs w:val="20"/>
          <w:lang w:val="de-AT"/>
        </w:rPr>
        <w:t xml:space="preserve">, [Vienna, BMASK, ], available at: </w:t>
      </w:r>
      <w:hyperlink r:id="rId10" w:history="1">
        <w:r w:rsidRPr="00D025E6">
          <w:rPr>
            <w:rStyle w:val="Hyperlink"/>
            <w:rFonts w:eastAsia="Calibri" w:cs="Times New Roman"/>
            <w:sz w:val="20"/>
            <w:szCs w:val="20"/>
            <w:lang w:val="de-AT"/>
          </w:rPr>
          <w:t>www.bmask.gv.at/cms/site/attachments/7/4/9/CH2092/CMS1359980335644/nap_behinderung-web_2013-01-30_eng.pdf</w:t>
        </w:r>
      </w:hyperlink>
      <w:r>
        <w:rPr>
          <w:rFonts w:eastAsia="Calibri" w:cs="Times New Roman"/>
          <w:sz w:val="20"/>
          <w:szCs w:val="20"/>
          <w:lang w:val="de-AT"/>
        </w:rPr>
        <w:t xml:space="preserve"> </w:t>
      </w:r>
    </w:p>
  </w:footnote>
  <w:footnote w:id="16">
    <w:p w14:paraId="397120D7" w14:textId="021E97D3" w:rsidR="004F70B0" w:rsidRPr="00583F30" w:rsidRDefault="004F70B0" w:rsidP="00EA04F8">
      <w:pPr>
        <w:pStyle w:val="FootnoteText"/>
        <w:contextualSpacing/>
        <w:rPr>
          <w:rFonts w:cs="Arial"/>
          <w:color w:val="000000"/>
          <w:lang w:val="de-AT"/>
        </w:rPr>
      </w:pPr>
      <w:r w:rsidRPr="00B0770D">
        <w:rPr>
          <w:rStyle w:val="FootnoteReference"/>
        </w:rPr>
        <w:footnoteRef/>
      </w:r>
      <w:r w:rsidRPr="00B0770D">
        <w:rPr>
          <w:lang w:val="de-AT"/>
        </w:rPr>
        <w:t xml:space="preserve"> Austria, Federal Act on the Provision of Public Documents – Service of Documents Act (</w:t>
      </w:r>
      <w:r w:rsidRPr="00B0770D">
        <w:rPr>
          <w:rFonts w:cs="Arial"/>
          <w:i/>
          <w:color w:val="000000"/>
          <w:lang w:val="de-AT"/>
        </w:rPr>
        <w:t>Bundesgesetz über die Zustellung behördlicher Dokumente – Zustellgesetz</w:t>
      </w:r>
      <w:r w:rsidRPr="00B0770D">
        <w:rPr>
          <w:rFonts w:cs="Arial"/>
          <w:color w:val="000000"/>
          <w:lang w:val="de-AT"/>
        </w:rPr>
        <w:t>)</w:t>
      </w:r>
      <w:r>
        <w:rPr>
          <w:rFonts w:cs="Arial"/>
          <w:color w:val="000000"/>
          <w:lang w:val="de-AT"/>
        </w:rPr>
        <w:t>,</w:t>
      </w:r>
      <w:r w:rsidRPr="00B0770D">
        <w:rPr>
          <w:rFonts w:cs="Arial"/>
          <w:color w:val="000000"/>
          <w:lang w:val="de-AT"/>
        </w:rPr>
        <w:t>BGBl</w:t>
      </w:r>
      <w:r>
        <w:rPr>
          <w:rFonts w:cs="Arial"/>
          <w:color w:val="000000"/>
          <w:lang w:val="de-AT"/>
        </w:rPr>
        <w:t>.</w:t>
      </w:r>
      <w:r w:rsidRPr="00B0770D">
        <w:rPr>
          <w:rFonts w:cs="Arial"/>
          <w:color w:val="000000"/>
          <w:lang w:val="de-AT"/>
        </w:rPr>
        <w:t xml:space="preserve"> No. 200/1982, available at: </w:t>
      </w:r>
      <w:hyperlink r:id="rId11" w:history="1">
        <w:r w:rsidRPr="00840CC6">
          <w:rPr>
            <w:rStyle w:val="Hyperlink"/>
            <w:lang w:val="de-AT"/>
          </w:rPr>
          <w:t>www.ris.bka.gv.at/GeltendeFassung.wxe?Abfrage=Bundesnormen&amp;Gesetzesnummer=10005522</w:t>
        </w:r>
      </w:hyperlink>
      <w:r>
        <w:rPr>
          <w:rFonts w:cs="Arial"/>
          <w:lang w:val="de-AT"/>
        </w:rPr>
        <w:t>.</w:t>
      </w:r>
    </w:p>
  </w:footnote>
  <w:footnote w:id="17">
    <w:p w14:paraId="4405A6DB" w14:textId="485009E2" w:rsidR="004F70B0" w:rsidRPr="002C1958" w:rsidRDefault="004F70B0" w:rsidP="00EA04F8">
      <w:pPr>
        <w:pStyle w:val="FootnoteText"/>
        <w:rPr>
          <w:lang w:val="de-AT"/>
        </w:rPr>
      </w:pPr>
      <w:r>
        <w:rPr>
          <w:rStyle w:val="FootnoteReference"/>
        </w:rPr>
        <w:footnoteRef/>
      </w:r>
      <w:r w:rsidRPr="002C1958">
        <w:rPr>
          <w:lang w:val="de-AT"/>
        </w:rPr>
        <w:t xml:space="preserve"> </w:t>
      </w:r>
      <w:r>
        <w:rPr>
          <w:lang w:val="de-AT"/>
        </w:rPr>
        <w:t xml:space="preserve">Austria, </w:t>
      </w:r>
      <w:r w:rsidRPr="002C1958">
        <w:rPr>
          <w:rFonts w:eastAsia="Calibri" w:cs="Times New Roman"/>
          <w:lang w:val="de-AT"/>
        </w:rPr>
        <w:t>Court Organisation Act (Gerichtsorganisationsgesetz, GOG)</w:t>
      </w:r>
      <w:r>
        <w:rPr>
          <w:rFonts w:eastAsia="Calibri" w:cs="Times New Roman"/>
          <w:lang w:val="de-AT"/>
        </w:rPr>
        <w:t>,</w:t>
      </w:r>
      <w:r w:rsidRPr="002C1958">
        <w:rPr>
          <w:rFonts w:eastAsia="Calibri" w:cs="Times New Roman"/>
          <w:lang w:val="de-AT"/>
        </w:rPr>
        <w:t xml:space="preserve"> </w:t>
      </w:r>
      <w:r w:rsidRPr="007F7F0F">
        <w:rPr>
          <w:lang w:val="de-AT"/>
        </w:rPr>
        <w:t>Gesetz vom 27. November 1896, womit Vorschriften über die Besetzung, innere Einrichtung und Geschäftsordnung der Gerichte erlassen werden (Gerichtsorganisationsgesetz - GOG)</w:t>
      </w:r>
      <w:r>
        <w:rPr>
          <w:lang w:val="de-AT"/>
        </w:rPr>
        <w:t xml:space="preserve">, </w:t>
      </w:r>
      <w:r w:rsidRPr="007F7F0F">
        <w:rPr>
          <w:lang w:val="de-AT"/>
        </w:rPr>
        <w:t>StF: RGBl. Nr. 217/1896</w:t>
      </w:r>
      <w:r>
        <w:rPr>
          <w:lang w:val="de-AT"/>
        </w:rPr>
        <w:t xml:space="preserve"> </w:t>
      </w:r>
    </w:p>
  </w:footnote>
  <w:footnote w:id="18">
    <w:p w14:paraId="13F10294" w14:textId="3D07A5EB" w:rsidR="004F70B0" w:rsidRPr="00792BAB" w:rsidRDefault="004F70B0" w:rsidP="00EA04F8">
      <w:pPr>
        <w:pStyle w:val="FootnoteText"/>
        <w:contextualSpacing/>
      </w:pPr>
      <w:r w:rsidRPr="00B0770D">
        <w:rPr>
          <w:rStyle w:val="FootnoteReference"/>
        </w:rPr>
        <w:footnoteRef/>
      </w:r>
      <w:r w:rsidRPr="00B0770D">
        <w:rPr>
          <w:lang w:val="de-AT"/>
        </w:rPr>
        <w:t xml:space="preserve"> Austria, Federal Act on the Austrian Broadcasting Company (</w:t>
      </w:r>
      <w:r w:rsidRPr="00B0770D">
        <w:rPr>
          <w:rFonts w:cs="Times New Roman"/>
          <w:i/>
          <w:color w:val="000000"/>
          <w:lang w:val="de-AT"/>
        </w:rPr>
        <w:t>Bundesgesetz über den Österreichischen Rundfunk -ORF-Gesetz - ORF-G</w:t>
      </w:r>
      <w:r w:rsidRPr="00B0770D">
        <w:rPr>
          <w:rFonts w:cs="Arial"/>
          <w:color w:val="000000"/>
          <w:lang w:val="de-AT"/>
        </w:rPr>
        <w:t>)</w:t>
      </w:r>
      <w:r w:rsidRPr="00B0770D">
        <w:rPr>
          <w:rFonts w:cs="Times New Roman"/>
          <w:lang w:val="de-AT"/>
        </w:rPr>
        <w:t xml:space="preserve"> BGBl. </w:t>
      </w:r>
      <w:r w:rsidRPr="00B0770D">
        <w:rPr>
          <w:rFonts w:cs="Times New Roman"/>
        </w:rPr>
        <w:t>No 379/1984, BGBl</w:t>
      </w:r>
      <w:r>
        <w:rPr>
          <w:rFonts w:cs="Times New Roman"/>
        </w:rPr>
        <w:t>.</w:t>
      </w:r>
      <w:r w:rsidRPr="00B0770D">
        <w:rPr>
          <w:rFonts w:cs="Times New Roman"/>
        </w:rPr>
        <w:t xml:space="preserve"> 84/2013, available at:</w:t>
      </w:r>
      <w:r>
        <w:rPr>
          <w:rFonts w:cs="Times New Roman"/>
        </w:rPr>
        <w:t xml:space="preserve"> </w:t>
      </w:r>
      <w:hyperlink r:id="rId12" w:history="1">
        <w:r w:rsidRPr="00D025E6">
          <w:rPr>
            <w:rStyle w:val="Hyperlink"/>
          </w:rPr>
          <w:t>www.ris.bka.gv.at/GeltendeFassung.wxe?Abfrage=Bundesnormen&amp;Gesetzesnummer=10000785</w:t>
        </w:r>
      </w:hyperlink>
      <w:r>
        <w:rPr>
          <w:rFonts w:cs="Times New Roman"/>
        </w:rPr>
        <w:t xml:space="preserve"> </w:t>
      </w:r>
    </w:p>
  </w:footnote>
  <w:footnote w:id="19">
    <w:p w14:paraId="07A88177" w14:textId="25430F41" w:rsidR="004F70B0" w:rsidRPr="00953117" w:rsidRDefault="004F70B0" w:rsidP="004C2D46">
      <w:pPr>
        <w:pStyle w:val="FootnoteText"/>
        <w:rPr>
          <w:lang w:val="de-AT"/>
        </w:rPr>
      </w:pPr>
      <w:r>
        <w:rPr>
          <w:rStyle w:val="FootnoteReference"/>
        </w:rPr>
        <w:footnoteRef/>
      </w:r>
      <w:r w:rsidRPr="00953117">
        <w:rPr>
          <w:lang w:val="de-AT"/>
        </w:rPr>
        <w:t xml:space="preserve"> Austria, Austrian </w:t>
      </w:r>
      <w:r>
        <w:rPr>
          <w:lang w:val="de-AT"/>
        </w:rPr>
        <w:t>Deaf Association</w:t>
      </w:r>
      <w:r w:rsidRPr="00953117">
        <w:rPr>
          <w:lang w:val="de-AT"/>
        </w:rPr>
        <w:t xml:space="preserve"> (</w:t>
      </w:r>
      <w:r w:rsidRPr="00953117">
        <w:rPr>
          <w:i/>
          <w:lang w:val="de-AT"/>
        </w:rPr>
        <w:t xml:space="preserve">Österreichischer Gehörlosenbund) </w:t>
      </w:r>
      <w:r>
        <w:rPr>
          <w:lang w:val="de-AT"/>
        </w:rPr>
        <w:t xml:space="preserve">(2010), Commentary </w:t>
      </w:r>
      <w:r w:rsidRPr="00953117">
        <w:rPr>
          <w:lang w:val="de-AT"/>
        </w:rPr>
        <w:t xml:space="preserve">on the draft ORF Act (Betrifft: Regierungsvorlage zum Entwurf eines Bundesgesetzes, mit dem u.a. das ORF-Gesetz und das </w:t>
      </w:r>
    </w:p>
    <w:p w14:paraId="667B737E" w14:textId="77777777" w:rsidR="004F70B0" w:rsidRPr="00953117" w:rsidRDefault="004F70B0" w:rsidP="004C2D46">
      <w:pPr>
        <w:pStyle w:val="FootnoteText"/>
        <w:rPr>
          <w:lang w:val="de-AT"/>
        </w:rPr>
      </w:pPr>
      <w:r w:rsidRPr="00953117">
        <w:rPr>
          <w:lang w:val="de-AT"/>
        </w:rPr>
        <w:t>Privatfernsehgesetz geändert werden), available at:</w:t>
      </w:r>
      <w:r>
        <w:rPr>
          <w:lang w:val="de-AT"/>
        </w:rPr>
        <w:t xml:space="preserve"> </w:t>
      </w:r>
      <w:r w:rsidRPr="00953117">
        <w:rPr>
          <w:lang w:val="de-AT"/>
        </w:rPr>
        <w:t>www.oeglb.at/netbuilder/docs/stellungnahme_oeglb_regierungsvorlage_orf-g.pd</w:t>
      </w:r>
      <w:r>
        <w:rPr>
          <w:lang w:val="de-AT"/>
        </w:rPr>
        <w:t xml:space="preserve">f </w:t>
      </w:r>
    </w:p>
  </w:footnote>
  <w:footnote w:id="20">
    <w:p w14:paraId="43CF4C03" w14:textId="66105E3D" w:rsidR="004F70B0" w:rsidRDefault="004F70B0">
      <w:pPr>
        <w:pStyle w:val="FootnoteText"/>
      </w:pPr>
      <w:r>
        <w:rPr>
          <w:rStyle w:val="FootnoteReference"/>
        </w:rPr>
        <w:footnoteRef/>
      </w:r>
      <w:r>
        <w:t xml:space="preserve"> Information provided upon request by ORF, 13 January 2014.</w:t>
      </w:r>
    </w:p>
  </w:footnote>
  <w:footnote w:id="21">
    <w:p w14:paraId="1974F88E" w14:textId="675557D9" w:rsidR="004F70B0" w:rsidRDefault="004F70B0">
      <w:pPr>
        <w:pStyle w:val="FootnoteText"/>
      </w:pPr>
      <w:r>
        <w:rPr>
          <w:rStyle w:val="FootnoteReference"/>
        </w:rPr>
        <w:footnoteRef/>
      </w:r>
      <w:r>
        <w:t xml:space="preserve"> ORF (2013), Annual Report (</w:t>
      </w:r>
      <w:r w:rsidRPr="0012135B">
        <w:rPr>
          <w:i/>
        </w:rPr>
        <w:t>Jahresbericht</w:t>
      </w:r>
      <w:r>
        <w:t xml:space="preserve">), </w:t>
      </w:r>
      <w:r w:rsidRPr="004C2D46">
        <w:t xml:space="preserve">available </w:t>
      </w:r>
      <w:r>
        <w:t>at:</w:t>
      </w:r>
      <w:r w:rsidRPr="004C2D46">
        <w:t xml:space="preserve"> </w:t>
      </w:r>
      <w:hyperlink r:id="rId13" w:history="1">
        <w:r w:rsidRPr="00840CC6">
          <w:rPr>
            <w:rStyle w:val="Hyperlink"/>
          </w:rPr>
          <w:t>http://zukunft.orf.at/show_content2.php?s2id=170</w:t>
        </w:r>
      </w:hyperlink>
    </w:p>
  </w:footnote>
  <w:footnote w:id="22">
    <w:p w14:paraId="6B55A19D" w14:textId="77777777" w:rsidR="004F70B0" w:rsidRPr="00E1465E" w:rsidRDefault="004F70B0">
      <w:pPr>
        <w:pStyle w:val="FootnoteText"/>
        <w:rPr>
          <w:lang w:val="de-AT"/>
        </w:rPr>
      </w:pPr>
      <w:r>
        <w:rPr>
          <w:rStyle w:val="FootnoteReference"/>
        </w:rPr>
        <w:footnoteRef/>
      </w:r>
      <w:r>
        <w:t xml:space="preserve"> </w:t>
      </w:r>
      <w:r w:rsidRPr="00CC08D3">
        <w:t xml:space="preserve">Austria, </w:t>
      </w:r>
      <w:r w:rsidRPr="00CC08D3">
        <w:rPr>
          <w:rFonts w:eastAsia="Calibri" w:cs="Times New Roman"/>
        </w:rPr>
        <w:t xml:space="preserve">BMASK (2012), National Action Plan on Disability 2012-2020. Strategy of the Austrian Federal Government for </w:t>
      </w:r>
      <w:r>
        <w:rPr>
          <w:rFonts w:eastAsia="Calibri" w:cs="Times New Roman"/>
        </w:rPr>
        <w:t>the Implementation of the UN Di</w:t>
      </w:r>
      <w:r w:rsidRPr="00CC08D3">
        <w:rPr>
          <w:rFonts w:eastAsia="Calibri" w:cs="Times New Roman"/>
        </w:rPr>
        <w:t xml:space="preserve">sability Rights Convention </w:t>
      </w:r>
      <w:r>
        <w:rPr>
          <w:rFonts w:eastAsia="Calibri" w:cs="Times New Roman"/>
        </w:rPr>
        <w:t>(</w:t>
      </w:r>
      <w:r w:rsidRPr="00CC08D3">
        <w:rPr>
          <w:rFonts w:eastAsia="Calibri" w:cs="Times New Roman"/>
          <w:i/>
        </w:rPr>
        <w:t xml:space="preserve">Nationaler Aktionsplan Behinderung 2012-2020. </w:t>
      </w:r>
      <w:r w:rsidRPr="00F761C3">
        <w:rPr>
          <w:rFonts w:eastAsia="Calibri" w:cs="Times New Roman"/>
          <w:i/>
          <w:lang w:val="de-AT"/>
        </w:rPr>
        <w:t>Strategie der Österreichischen Bundesregierung zur Umsetzung der UN-Behindertenrechtskonvention</w:t>
      </w:r>
      <w:r>
        <w:rPr>
          <w:rFonts w:eastAsia="Calibri" w:cs="Times New Roman"/>
          <w:lang w:val="de-AT"/>
        </w:rPr>
        <w:t>)</w:t>
      </w:r>
      <w:r w:rsidRPr="00F761C3">
        <w:rPr>
          <w:rFonts w:eastAsia="Calibri" w:cs="Times New Roman"/>
          <w:lang w:val="de-AT"/>
        </w:rPr>
        <w:t xml:space="preserve">, [Vienna, BMASK, </w:t>
      </w:r>
      <w:r>
        <w:rPr>
          <w:rFonts w:eastAsia="Calibri" w:cs="Times New Roman"/>
          <w:lang w:val="de-AT"/>
        </w:rPr>
        <w:t>]</w:t>
      </w:r>
    </w:p>
  </w:footnote>
  <w:footnote w:id="23">
    <w:p w14:paraId="4F25EE22" w14:textId="77777777" w:rsidR="004F70B0" w:rsidRPr="00E2000E" w:rsidRDefault="004F70B0" w:rsidP="00EA04F8">
      <w:pPr>
        <w:pStyle w:val="FootnoteText"/>
        <w:contextualSpacing/>
        <w:rPr>
          <w:lang w:val="es-ES"/>
        </w:rPr>
      </w:pPr>
      <w:r w:rsidRPr="00E2000E">
        <w:rPr>
          <w:rStyle w:val="FootnoteReference"/>
        </w:rPr>
        <w:footnoteRef/>
      </w:r>
      <w:r w:rsidRPr="00E2000E">
        <w:rPr>
          <w:lang w:val="es-ES"/>
        </w:rPr>
        <w:t xml:space="preserve"> Austria, Federal Act on Audiovisual Media Services (</w:t>
      </w:r>
      <w:r w:rsidRPr="00E2000E">
        <w:rPr>
          <w:i/>
          <w:lang w:val="es-ES"/>
        </w:rPr>
        <w:t xml:space="preserve">Bundesgesetz über audiovisuelle Mediensdienste – Audiovisuelle Mediendienste-Gesetz – AMD-G) </w:t>
      </w:r>
      <w:r w:rsidRPr="00E2000E">
        <w:rPr>
          <w:lang w:val="es-ES"/>
        </w:rPr>
        <w:t xml:space="preserve">BGBl. No. 84/2001, available at: </w:t>
      </w:r>
      <w:r w:rsidRPr="001114D2">
        <w:rPr>
          <w:lang w:val="es-ES"/>
        </w:rPr>
        <w:t>www.ris.bka.gv.at/GeltendeFassung.wxe?Abfrage=Bundesnormen&amp;Gesetzesnummer=20001412</w:t>
      </w:r>
      <w:r>
        <w:rPr>
          <w:lang w:val="es-ES"/>
        </w:rPr>
        <w:t>.</w:t>
      </w:r>
    </w:p>
  </w:footnote>
  <w:footnote w:id="24">
    <w:p w14:paraId="40567030" w14:textId="33FF4265" w:rsidR="004F70B0" w:rsidRDefault="004F70B0">
      <w:pPr>
        <w:pStyle w:val="FootnoteText"/>
      </w:pPr>
      <w:r>
        <w:rPr>
          <w:rStyle w:val="FootnoteReference"/>
        </w:rPr>
        <w:footnoteRef/>
      </w:r>
      <w:r>
        <w:t xml:space="preserve"> Austria, </w:t>
      </w:r>
      <w:r w:rsidRPr="00FD61FF">
        <w:rPr>
          <w:rFonts w:cstheme="minorHAnsi"/>
          <w:color w:val="000000"/>
          <w:lang w:val="en"/>
        </w:rPr>
        <w:t xml:space="preserve">Federal Disability Equality Act </w:t>
      </w:r>
      <w:r>
        <w:rPr>
          <w:rFonts w:cstheme="minorHAnsi"/>
          <w:color w:val="000000"/>
          <w:lang w:val="en"/>
        </w:rPr>
        <w:t>(</w:t>
      </w:r>
      <w:r w:rsidRPr="002C0B6D">
        <w:rPr>
          <w:rFonts w:cstheme="minorHAnsi"/>
          <w:i/>
          <w:color w:val="000000"/>
          <w:lang w:val="en"/>
        </w:rPr>
        <w:t>Bundes-Behindertengleichstellungsgesetz</w:t>
      </w:r>
      <w:r>
        <w:rPr>
          <w:rFonts w:cstheme="minorHAnsi"/>
          <w:color w:val="000000"/>
          <w:lang w:val="en"/>
        </w:rPr>
        <w:t xml:space="preserve">), available at: </w:t>
      </w:r>
      <w:hyperlink r:id="rId14" w:history="1">
        <w:r w:rsidRPr="00840CC6">
          <w:rPr>
            <w:rStyle w:val="Hyperlink"/>
            <w:rFonts w:cstheme="minorHAnsi"/>
            <w:lang w:val="en"/>
          </w:rPr>
          <w:t>http://www.ris.bka.gv.at/GeltendeFassung.wxe?Abfrage=Bundesnormen&amp;Gesetzesnummer=20004228&amp;ShowPrintPreview=True</w:t>
        </w:r>
      </w:hyperlink>
    </w:p>
  </w:footnote>
  <w:footnote w:id="25">
    <w:p w14:paraId="1A5AC123" w14:textId="335ED098" w:rsidR="004F70B0" w:rsidRDefault="004F70B0">
      <w:pPr>
        <w:pStyle w:val="FootnoteText"/>
      </w:pPr>
      <w:r>
        <w:rPr>
          <w:rStyle w:val="FootnoteReference"/>
        </w:rPr>
        <w:footnoteRef/>
      </w:r>
      <w:r>
        <w:t xml:space="preserve"> </w:t>
      </w:r>
      <w:r w:rsidRPr="00EA04F8">
        <w:t>Austrian Institute of Construction Engineering</w:t>
      </w:r>
      <w:r>
        <w:t xml:space="preserve"> </w:t>
      </w:r>
      <w:r>
        <w:rPr>
          <w:rFonts w:cstheme="minorHAnsi"/>
          <w:color w:val="000000"/>
          <w:lang w:val="en"/>
        </w:rPr>
        <w:t>(</w:t>
      </w:r>
      <w:r w:rsidRPr="00AA76AF">
        <w:rPr>
          <w:rFonts w:cstheme="minorHAnsi"/>
          <w:i/>
          <w:color w:val="000000"/>
          <w:lang w:val="en"/>
        </w:rPr>
        <w:t>Österreichisches Institut für Bautechnik</w:t>
      </w:r>
      <w:r>
        <w:rPr>
          <w:rFonts w:cstheme="minorHAnsi"/>
          <w:color w:val="000000"/>
          <w:lang w:val="en"/>
        </w:rPr>
        <w:t xml:space="preserve">) 2007, </w:t>
      </w:r>
      <w:r w:rsidRPr="00EA04F8">
        <w:t>Guidelines for user security</w:t>
      </w:r>
      <w:r>
        <w:t xml:space="preserve"> and accessibility,</w:t>
      </w:r>
      <w:r w:rsidRPr="00EA04F8">
        <w:t xml:space="preserve"> </w:t>
      </w:r>
      <w:r>
        <w:t>available at:</w:t>
      </w:r>
      <w:r w:rsidRPr="00EA04F8">
        <w:t xml:space="preserve"> http://www.oib.or.at/RL4_250407.pdf</w:t>
      </w:r>
    </w:p>
  </w:footnote>
  <w:footnote w:id="26">
    <w:p w14:paraId="7F6EA455" w14:textId="258F985C" w:rsidR="004F70B0" w:rsidRPr="00A2799B" w:rsidRDefault="004F70B0" w:rsidP="00D71050">
      <w:pPr>
        <w:spacing w:after="0" w:line="240" w:lineRule="auto"/>
        <w:contextualSpacing/>
        <w:rPr>
          <w:lang w:val="en-US"/>
        </w:rPr>
      </w:pPr>
      <w:r>
        <w:rPr>
          <w:rStyle w:val="FootnoteReference"/>
        </w:rPr>
        <w:footnoteRef/>
      </w:r>
      <w:r w:rsidRPr="002C1958">
        <w:t xml:space="preserve"> </w:t>
      </w:r>
      <w:r w:rsidRPr="002C1958">
        <w:rPr>
          <w:rFonts w:ascii="Calibri" w:eastAsia="Calibri" w:hAnsi="Calibri" w:cs="Times New Roman"/>
          <w:sz w:val="20"/>
          <w:szCs w:val="20"/>
        </w:rPr>
        <w:t>Austria, Federal Act on the Election of the members of the European Parliament (European Election Law) (</w:t>
      </w:r>
      <w:r w:rsidRPr="002C1958">
        <w:rPr>
          <w:rFonts w:ascii="Calibri" w:hAnsi="Calibri" w:cs="Times New Roman"/>
          <w:i/>
          <w:color w:val="000000"/>
          <w:sz w:val="20"/>
          <w:szCs w:val="20"/>
        </w:rPr>
        <w:t>Bundesgesetz über die Wahl der Mitglieder des Europäischen Parlaments –  Europawahlordnung – EuWO)</w:t>
      </w:r>
      <w:r w:rsidRPr="002C1958">
        <w:rPr>
          <w:rFonts w:ascii="Calibri" w:eastAsia="Calibri" w:hAnsi="Calibri" w:cs="Times New Roman"/>
          <w:sz w:val="20"/>
          <w:szCs w:val="20"/>
        </w:rPr>
        <w:t xml:space="preserve"> BGBl. No. 117/1996, BGBl 12/2012, available at:</w:t>
      </w:r>
      <w:r w:rsidRPr="002C1958">
        <w:rPr>
          <w:rFonts w:ascii="Calibri" w:hAnsi="Calibri"/>
          <w:sz w:val="20"/>
          <w:szCs w:val="20"/>
        </w:rPr>
        <w:t xml:space="preserve"> </w:t>
      </w:r>
      <w:hyperlink r:id="rId15" w:history="1">
        <w:r w:rsidRPr="00840CC6">
          <w:rPr>
            <w:rStyle w:val="Hyperlink"/>
            <w:rFonts w:ascii="Calibri" w:eastAsia="Calibri" w:hAnsi="Calibri" w:cs="Times New Roman"/>
            <w:sz w:val="20"/>
            <w:szCs w:val="20"/>
          </w:rPr>
          <w:t>www.ris.bka.gv.at/GeltendeFassung.wxe?Abfrage=Bundesnormen&amp;Gesetzesnummer=10001436</w:t>
        </w:r>
      </w:hyperlink>
      <w:r w:rsidRPr="002C1958">
        <w:rPr>
          <w:rFonts w:ascii="Calibri" w:eastAsia="Calibri" w:hAnsi="Calibri" w:cs="Times New Roman"/>
          <w:sz w:val="20"/>
          <w:szCs w:val="20"/>
        </w:rPr>
        <w:t xml:space="preserve">. </w:t>
      </w:r>
      <w:r w:rsidRPr="00E2000E">
        <w:rPr>
          <w:rFonts w:ascii="Calibri" w:hAnsi="Calibri"/>
          <w:sz w:val="20"/>
          <w:szCs w:val="20"/>
          <w:lang w:val="en-US"/>
        </w:rPr>
        <w:t>Austria, Federal Act on the Election of the National Assembly – National Assembly Election Law 1992 (</w:t>
      </w:r>
      <w:r w:rsidRPr="00E2000E">
        <w:rPr>
          <w:rFonts w:ascii="Calibri" w:hAnsi="Calibri"/>
          <w:i/>
          <w:sz w:val="20"/>
          <w:szCs w:val="20"/>
          <w:lang w:val="en-US"/>
        </w:rPr>
        <w:t>Bundesgesetz über die Wahl des Nationalrates – Nationalrats-Wahlordnung 1992 – NRWO</w:t>
      </w:r>
      <w:r w:rsidRPr="00E2000E">
        <w:rPr>
          <w:rFonts w:ascii="Calibri" w:hAnsi="Calibri"/>
          <w:sz w:val="20"/>
          <w:szCs w:val="20"/>
          <w:lang w:val="en-US"/>
        </w:rPr>
        <w:t>)</w:t>
      </w:r>
      <w:r w:rsidRPr="00E2000E">
        <w:rPr>
          <w:rFonts w:ascii="Calibri" w:eastAsia="Calibri" w:hAnsi="Calibri" w:cs="Times New Roman"/>
          <w:sz w:val="20"/>
          <w:szCs w:val="20"/>
          <w:lang w:val="en-US"/>
        </w:rPr>
        <w:t xml:space="preserve"> BGBl. No.471/1992, available at: </w:t>
      </w:r>
      <w:hyperlink r:id="rId16" w:history="1">
        <w:r w:rsidRPr="00840CC6">
          <w:rPr>
            <w:rStyle w:val="Hyperlink"/>
            <w:rFonts w:ascii="Calibri" w:eastAsia="Calibri" w:hAnsi="Calibri" w:cs="Times New Roman"/>
            <w:sz w:val="20"/>
            <w:szCs w:val="20"/>
            <w:lang w:val="en-US"/>
          </w:rPr>
          <w:t>www.ris.bka.gv.at/GeltendeFassung.wxe?Abfrage=Bundesnormen&amp;Gesetzesnummer=10001199</w:t>
        </w:r>
      </w:hyperlink>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 Burgenland</w:t>
      </w:r>
      <w:r>
        <w:rPr>
          <w:sz w:val="20"/>
          <w:szCs w:val="20"/>
          <w:lang w:val="en-US"/>
        </w:rPr>
        <w:t>,</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No.54/1992</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Carinthia, </w:t>
      </w:r>
      <w:r w:rsidRPr="00D27000">
        <w:rPr>
          <w:rFonts w:ascii="Calibri" w:eastAsia="Calibri" w:hAnsi="Calibri" w:cs="Times New Roman"/>
          <w:sz w:val="20"/>
          <w:szCs w:val="20"/>
          <w:lang w:val="en-US"/>
        </w:rPr>
        <w:t>LGBl No. 32/2002</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Lower Austria, </w:t>
      </w:r>
      <w:r w:rsidRPr="00D27000">
        <w:rPr>
          <w:rFonts w:ascii="Calibri" w:eastAsia="Calibri" w:hAnsi="Calibri" w:cs="Times New Roman"/>
          <w:sz w:val="20"/>
          <w:szCs w:val="20"/>
          <w:lang w:val="en-US"/>
        </w:rPr>
        <w:t>LGBl No. 112/1994</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Upper Austria, </w:t>
      </w:r>
      <w:r>
        <w:rPr>
          <w:rFonts w:ascii="Calibri" w:eastAsia="Calibri" w:hAnsi="Calibri" w:cs="Times New Roman"/>
          <w:sz w:val="20"/>
          <w:szCs w:val="20"/>
          <w:lang w:val="en-US"/>
        </w:rPr>
        <w:t xml:space="preserve">LGBl No. 81/1996;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Salzburg, </w:t>
      </w:r>
      <w:r>
        <w:rPr>
          <w:rFonts w:ascii="Calibri" w:eastAsia="Calibri" w:hAnsi="Calibri" w:cs="Times New Roman"/>
          <w:sz w:val="20"/>
          <w:szCs w:val="20"/>
          <w:lang w:val="en-US"/>
        </w:rPr>
        <w:t xml:space="preserve">LGBl No. 117/1998;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Styria,</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 59/2009</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Graz, </w:t>
      </w:r>
      <w:r w:rsidRPr="00DE5C49">
        <w:rPr>
          <w:sz w:val="20"/>
          <w:szCs w:val="20"/>
          <w:lang w:val="en-US"/>
        </w:rPr>
        <w:t>LGBl No. 86/2012</w:t>
      </w:r>
      <w:r>
        <w:rPr>
          <w:sz w:val="20"/>
          <w:szCs w:val="20"/>
          <w:lang w:val="en-US"/>
        </w:rPr>
        <w:t xml:space="preserve">; Austria, </w:t>
      </w:r>
      <w:r w:rsidRPr="006202F0">
        <w:rPr>
          <w:sz w:val="20"/>
          <w:szCs w:val="20"/>
          <w:lang w:val="en-US"/>
        </w:rPr>
        <w:t>Act on municipal election in the province of</w:t>
      </w:r>
      <w:r>
        <w:rPr>
          <w:sz w:val="20"/>
          <w:szCs w:val="20"/>
          <w:lang w:val="en-US"/>
        </w:rPr>
        <w:t xml:space="preserve"> Tyrol, </w:t>
      </w:r>
      <w:r w:rsidRPr="00D27000">
        <w:rPr>
          <w:rFonts w:ascii="Calibri" w:eastAsia="Calibri" w:hAnsi="Calibri" w:cs="Times New Roman"/>
          <w:sz w:val="20"/>
          <w:szCs w:val="20"/>
          <w:lang w:val="en-US"/>
        </w:rPr>
        <w:t>LGBl No. 88/1994</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Vienna, </w:t>
      </w:r>
      <w:r w:rsidRPr="00D27000">
        <w:rPr>
          <w:rFonts w:ascii="Calibri" w:eastAsia="Calibri" w:hAnsi="Calibri" w:cs="Times New Roman"/>
          <w:sz w:val="20"/>
          <w:szCs w:val="20"/>
          <w:lang w:val="en-US"/>
        </w:rPr>
        <w:t>LGBl No. 16/1996</w:t>
      </w:r>
      <w:r>
        <w:rPr>
          <w:sz w:val="20"/>
          <w:szCs w:val="20"/>
          <w:lang w:val="en-US"/>
        </w:rPr>
        <w:t xml:space="preserve">; </w:t>
      </w:r>
      <w:r w:rsidRPr="000E4D25">
        <w:rPr>
          <w:sz w:val="20"/>
          <w:szCs w:val="20"/>
          <w:lang w:val="en-US"/>
        </w:rPr>
        <w:t xml:space="preserve">Austria, Act on municipal election in the province of Vorarlberg, </w:t>
      </w:r>
      <w:r w:rsidRPr="000E4D25">
        <w:rPr>
          <w:rFonts w:ascii="Calibri" w:eastAsia="Calibri" w:hAnsi="Calibri" w:cs="Times New Roman"/>
          <w:sz w:val="20"/>
          <w:szCs w:val="20"/>
          <w:lang w:val="en-US"/>
        </w:rPr>
        <w:t>LGBl No. 30/1999</w:t>
      </w:r>
      <w:r>
        <w:rPr>
          <w:rFonts w:ascii="Calibri" w:eastAsia="Calibri" w:hAnsi="Calibri" w:cs="Times New Roman"/>
          <w:sz w:val="20"/>
          <w:szCs w:val="20"/>
          <w:lang w:val="en-US"/>
        </w:rPr>
        <w:t>.</w:t>
      </w:r>
    </w:p>
  </w:footnote>
  <w:footnote w:id="27">
    <w:p w14:paraId="7F6EA456" w14:textId="77777777" w:rsidR="004F70B0" w:rsidRPr="00F13C00" w:rsidRDefault="004F70B0" w:rsidP="00D71050">
      <w:pPr>
        <w:spacing w:after="0" w:line="240" w:lineRule="auto"/>
        <w:contextualSpacing/>
      </w:pPr>
      <w:r w:rsidRPr="00E2000E">
        <w:rPr>
          <w:rStyle w:val="FootnoteReference"/>
          <w:sz w:val="20"/>
          <w:szCs w:val="20"/>
        </w:rPr>
        <w:footnoteRef/>
      </w:r>
      <w:r w:rsidRPr="00CA47FE">
        <w:rPr>
          <w:sz w:val="20"/>
          <w:szCs w:val="20"/>
          <w:lang w:val="en-US"/>
        </w:rPr>
        <w:t xml:space="preserve"> </w:t>
      </w:r>
      <w:r w:rsidRPr="00E2000E">
        <w:rPr>
          <w:sz w:val="20"/>
          <w:szCs w:val="20"/>
          <w:lang w:val="en-US"/>
        </w:rPr>
        <w:t xml:space="preserve">Austria, Act on municipal election in the province of Carinthia, </w:t>
      </w:r>
      <w:r w:rsidRPr="00E2000E">
        <w:rPr>
          <w:rFonts w:ascii="Calibri" w:eastAsia="Calibri" w:hAnsi="Calibri" w:cs="Times New Roman"/>
          <w:sz w:val="20"/>
          <w:szCs w:val="20"/>
          <w:lang w:val="en-US"/>
        </w:rPr>
        <w:t>LGBl No. 32/2002</w:t>
      </w:r>
      <w:r w:rsidRPr="00A2799B">
        <w:rPr>
          <w:rFonts w:ascii="Calibri" w:eastAsia="Calibri" w:hAnsi="Calibri" w:cs="Times New Roman"/>
          <w:sz w:val="20"/>
          <w:szCs w:val="20"/>
          <w:lang w:val="en-US"/>
        </w:rPr>
        <w:t xml:space="preserve">,[ </w:t>
      </w:r>
      <w:r w:rsidRPr="00A2799B">
        <w:rPr>
          <w:rFonts w:eastAsia="Calibri" w:cs="Times New Roman"/>
          <w:sz w:val="20"/>
          <w:szCs w:val="20"/>
          <w:lang w:val="en-US"/>
        </w:rPr>
        <w:t>§50(5)]</w:t>
      </w:r>
      <w:r>
        <w:rPr>
          <w:rFonts w:eastAsia="Calibri" w:cs="Times New Roman"/>
          <w:sz w:val="20"/>
          <w:szCs w:val="20"/>
          <w:lang w:val="en-US"/>
        </w:rPr>
        <w:t xml:space="preserve">; </w:t>
      </w:r>
      <w:r w:rsidRPr="00E2000E">
        <w:rPr>
          <w:sz w:val="20"/>
          <w:szCs w:val="20"/>
          <w:lang w:val="en-US"/>
        </w:rPr>
        <w:t xml:space="preserve">Austria, Act on municipal election in the province of Upper Austria, </w:t>
      </w:r>
      <w:r w:rsidRPr="00E2000E">
        <w:rPr>
          <w:rFonts w:ascii="Calibri" w:eastAsia="Calibri" w:hAnsi="Calibri" w:cs="Times New Roman"/>
          <w:sz w:val="20"/>
          <w:szCs w:val="20"/>
          <w:lang w:val="en-US"/>
        </w:rPr>
        <w:t>LGBl No. 81/1996</w:t>
      </w:r>
      <w:r>
        <w:rPr>
          <w:rFonts w:ascii="Calibri" w:eastAsia="Calibri" w:hAnsi="Calibri" w:cs="Times New Roman"/>
          <w:sz w:val="20"/>
          <w:szCs w:val="20"/>
          <w:lang w:val="en-US"/>
        </w:rPr>
        <w:t xml:space="preserve">, [§41(3)]; </w:t>
      </w:r>
      <w:r w:rsidRPr="00E2000E">
        <w:rPr>
          <w:sz w:val="20"/>
          <w:szCs w:val="20"/>
          <w:lang w:val="en-US"/>
        </w:rPr>
        <w:t>Austria, Act on municipal election in the province of Styria,</w:t>
      </w:r>
      <w:r w:rsidRPr="00E2000E">
        <w:rPr>
          <w:rFonts w:ascii="Calibri" w:eastAsia="Calibri" w:hAnsi="Calibri" w:cs="Times New Roman"/>
          <w:sz w:val="20"/>
          <w:szCs w:val="20"/>
          <w:lang w:val="en-US"/>
        </w:rPr>
        <w:t xml:space="preserve"> LGBl No. 59/2009</w:t>
      </w:r>
      <w:r>
        <w:rPr>
          <w:rFonts w:ascii="Calibri" w:eastAsia="Calibri" w:hAnsi="Calibri" w:cs="Times New Roman"/>
          <w:sz w:val="20"/>
          <w:szCs w:val="20"/>
          <w:lang w:val="en-US"/>
        </w:rPr>
        <w:t xml:space="preserve">, [§50(4)]; </w:t>
      </w:r>
      <w:r w:rsidRPr="00E2000E">
        <w:rPr>
          <w:sz w:val="20"/>
          <w:szCs w:val="20"/>
          <w:lang w:val="en-US"/>
        </w:rPr>
        <w:t>Austria, Act on municipal election in the province of</w:t>
      </w:r>
      <w:r>
        <w:rPr>
          <w:sz w:val="20"/>
          <w:szCs w:val="20"/>
          <w:lang w:val="en-US"/>
        </w:rPr>
        <w:t xml:space="preserve"> the C</w:t>
      </w:r>
      <w:r w:rsidRPr="00E2000E">
        <w:rPr>
          <w:sz w:val="20"/>
          <w:szCs w:val="20"/>
          <w:lang w:val="en-US"/>
        </w:rPr>
        <w:t>ity of Graz, LGBl No. 86/2012</w:t>
      </w:r>
      <w:r>
        <w:rPr>
          <w:sz w:val="20"/>
          <w:szCs w:val="20"/>
          <w:lang w:val="en-US"/>
        </w:rPr>
        <w:t xml:space="preserve">, [49(3)]; </w:t>
      </w:r>
      <w:r w:rsidRPr="00E2000E">
        <w:rPr>
          <w:sz w:val="20"/>
          <w:szCs w:val="20"/>
          <w:lang w:val="en-US"/>
        </w:rPr>
        <w:t xml:space="preserve">Austria, Act on municipal election in the province of Tyrol, </w:t>
      </w:r>
      <w:r w:rsidRPr="00E2000E">
        <w:rPr>
          <w:rFonts w:ascii="Calibri" w:eastAsia="Calibri" w:hAnsi="Calibri" w:cs="Times New Roman"/>
          <w:sz w:val="20"/>
          <w:szCs w:val="20"/>
          <w:lang w:val="en-US"/>
        </w:rPr>
        <w:t>LGBl No. 88/1994</w:t>
      </w:r>
      <w:r>
        <w:rPr>
          <w:rFonts w:ascii="Calibri" w:eastAsia="Calibri" w:hAnsi="Calibri" w:cs="Times New Roman"/>
          <w:sz w:val="20"/>
          <w:szCs w:val="20"/>
          <w:lang w:val="en-US"/>
        </w:rPr>
        <w:t xml:space="preserve">, [§46(4)]; </w:t>
      </w:r>
      <w:r w:rsidRPr="000E4D25">
        <w:rPr>
          <w:sz w:val="20"/>
          <w:szCs w:val="20"/>
          <w:lang w:val="en-US"/>
        </w:rPr>
        <w:t xml:space="preserve">Austria, Act on municipal election in the province of the City of Vienna, </w:t>
      </w:r>
      <w:r w:rsidRPr="000E4D25">
        <w:rPr>
          <w:rFonts w:ascii="Calibri" w:eastAsia="Calibri" w:hAnsi="Calibri" w:cs="Times New Roman"/>
          <w:sz w:val="20"/>
          <w:szCs w:val="20"/>
          <w:lang w:val="en-US"/>
        </w:rPr>
        <w:t>LGBl No</w:t>
      </w:r>
      <w:r w:rsidRPr="00E2000E">
        <w:rPr>
          <w:rFonts w:ascii="Calibri" w:eastAsia="Calibri" w:hAnsi="Calibri" w:cs="Times New Roman"/>
          <w:sz w:val="20"/>
          <w:szCs w:val="20"/>
          <w:lang w:val="en-US"/>
        </w:rPr>
        <w:t>. 16/1996</w:t>
      </w:r>
      <w:r>
        <w:rPr>
          <w:sz w:val="20"/>
          <w:szCs w:val="20"/>
          <w:lang w:val="en-US"/>
        </w:rPr>
        <w:t xml:space="preserve">, [§51(2)]; </w:t>
      </w:r>
      <w:r w:rsidRPr="000E4D25">
        <w:rPr>
          <w:sz w:val="20"/>
          <w:szCs w:val="20"/>
          <w:lang w:val="en-US"/>
        </w:rPr>
        <w:t xml:space="preserve">Austria, Act on municipal election in the province of Vorarlberg, </w:t>
      </w:r>
      <w:r w:rsidRPr="000E4D25">
        <w:rPr>
          <w:rFonts w:ascii="Calibri" w:eastAsia="Calibri" w:hAnsi="Calibri" w:cs="Times New Roman"/>
          <w:sz w:val="20"/>
          <w:szCs w:val="20"/>
          <w:lang w:val="en-US"/>
        </w:rPr>
        <w:t>LGBl No. 30/1999 [§26(3)]</w:t>
      </w:r>
      <w:r>
        <w:rPr>
          <w:rFonts w:ascii="Calibri" w:eastAsia="Calibri" w:hAnsi="Calibri" w:cs="Times New Roman"/>
          <w:sz w:val="20"/>
          <w:szCs w:val="20"/>
          <w:lang w:val="en-US"/>
        </w:rPr>
        <w:t xml:space="preserve">. </w:t>
      </w:r>
    </w:p>
  </w:footnote>
  <w:footnote w:id="28">
    <w:p w14:paraId="7F6EA457" w14:textId="77777777" w:rsidR="004F70B0" w:rsidRPr="00E2000E" w:rsidRDefault="004F70B0" w:rsidP="00D71050">
      <w:pPr>
        <w:pStyle w:val="FootnoteText"/>
        <w:contextualSpacing/>
      </w:pPr>
      <w:r w:rsidRPr="00E2000E">
        <w:rPr>
          <w:rStyle w:val="FootnoteReference"/>
        </w:rPr>
        <w:footnoteRef/>
      </w:r>
      <w:r w:rsidRPr="00E2000E">
        <w:t xml:space="preserve"> </w:t>
      </w:r>
      <w:r w:rsidRPr="00E2000E">
        <w:rPr>
          <w:lang w:val="en-US"/>
        </w:rPr>
        <w:t xml:space="preserve">Austria, Wegscheider, A. (2013), ‘Political Participation of Persons with Disabilities’ </w:t>
      </w:r>
      <w:r w:rsidRPr="00E2000E">
        <w:rPr>
          <w:i/>
          <w:lang w:val="en-US"/>
        </w:rPr>
        <w:t>SWS-Rundschau</w:t>
      </w:r>
      <w:r w:rsidRPr="00E2000E">
        <w:rPr>
          <w:lang w:val="en-US"/>
        </w:rPr>
        <w:t xml:space="preserve"> Vol. 53, No 2, pp. 216-234 [p.</w:t>
      </w:r>
      <w:r>
        <w:rPr>
          <w:lang w:val="en-US"/>
        </w:rPr>
        <w:t xml:space="preserve"> </w:t>
      </w:r>
      <w:r w:rsidRPr="00E2000E">
        <w:rPr>
          <w:lang w:val="en-US"/>
        </w:rPr>
        <w:t>221]</w:t>
      </w:r>
      <w:r>
        <w:rPr>
          <w:lang w:val="en-US"/>
        </w:rPr>
        <w:t>.</w:t>
      </w:r>
    </w:p>
  </w:footnote>
  <w:footnote w:id="29">
    <w:p w14:paraId="39D9354D" w14:textId="2CC5345F" w:rsidR="004F70B0" w:rsidRDefault="004F70B0" w:rsidP="00527877">
      <w:pPr>
        <w:pStyle w:val="FootnoteText"/>
      </w:pPr>
      <w:r>
        <w:rPr>
          <w:rStyle w:val="FootnoteReference"/>
        </w:rPr>
        <w:footnoteRef/>
      </w:r>
      <w:r>
        <w:t xml:space="preserve"> </w:t>
      </w:r>
      <w:r w:rsidRPr="00AE0809">
        <w:t>National Action Plan on Di</w:t>
      </w:r>
      <w:r>
        <w:t xml:space="preserve">sability 2012-2020, available at: </w:t>
      </w:r>
      <w:hyperlink r:id="rId17" w:history="1">
        <w:r w:rsidRPr="00840CC6">
          <w:rPr>
            <w:rStyle w:val="Hyperlink"/>
          </w:rPr>
          <w:t>http://www.bmask.gv.at/cms/site/attachments/7/4/9/CH2092/CMS1359980335644/nap_behinderung-web_2013-01-30_eng.pdf</w:t>
        </w:r>
      </w:hyperlink>
      <w:r>
        <w:t xml:space="preserve"> </w:t>
      </w:r>
    </w:p>
  </w:footnote>
  <w:footnote w:id="30">
    <w:p w14:paraId="2A200868" w14:textId="12504FC0" w:rsidR="004F70B0" w:rsidRDefault="004F70B0" w:rsidP="00864532">
      <w:pPr>
        <w:pStyle w:val="FootnoteText"/>
      </w:pPr>
      <w:r>
        <w:rPr>
          <w:rStyle w:val="FootnoteReference"/>
        </w:rPr>
        <w:footnoteRef/>
      </w:r>
      <w:r>
        <w:t xml:space="preserve"> Austria, Consititutional Law (Bundes-Verfassungsgesetz, B-VG), available at </w:t>
      </w:r>
      <w:hyperlink r:id="rId18" w:history="1">
        <w:r w:rsidRPr="00840CC6">
          <w:rPr>
            <w:rStyle w:val="Hyperlink"/>
          </w:rPr>
          <w:t>https://www.ris.bka.gv.at/GeltendeFassung.wxe?Abfrage=Bundesnormen&amp;Gesetzesnummer=10000138</w:t>
        </w:r>
      </w:hyperlink>
    </w:p>
  </w:footnote>
  <w:footnote w:id="31">
    <w:p w14:paraId="7F6EA458" w14:textId="77777777" w:rsidR="004F70B0" w:rsidRPr="00AF4C2D" w:rsidRDefault="004F70B0" w:rsidP="00D71050">
      <w:pPr>
        <w:spacing w:after="0" w:line="240" w:lineRule="auto"/>
        <w:contextualSpacing/>
        <w:rPr>
          <w:lang w:val="en-US"/>
        </w:rPr>
      </w:pPr>
      <w:r>
        <w:rPr>
          <w:rStyle w:val="FootnoteReference"/>
        </w:rPr>
        <w:footnoteRef/>
      </w:r>
      <w:r>
        <w:rPr>
          <w:sz w:val="20"/>
          <w:szCs w:val="20"/>
          <w:lang w:val="en-US"/>
        </w:rPr>
        <w:t xml:space="preserve"> Austria, </w:t>
      </w:r>
      <w:r w:rsidRPr="006202F0">
        <w:rPr>
          <w:sz w:val="20"/>
          <w:szCs w:val="20"/>
          <w:lang w:val="en-US"/>
        </w:rPr>
        <w:t>Act on municipal election in the province of Burgenland</w:t>
      </w:r>
      <w:r>
        <w:rPr>
          <w:sz w:val="20"/>
          <w:szCs w:val="20"/>
          <w:lang w:val="en-US"/>
        </w:rPr>
        <w:t>,</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No.54/1992</w:t>
      </w:r>
      <w:r>
        <w:rPr>
          <w:rFonts w:ascii="Calibri" w:eastAsia="Calibri" w:hAnsi="Calibri" w:cs="Times New Roman"/>
          <w:sz w:val="20"/>
          <w:szCs w:val="20"/>
          <w:lang w:val="en-US"/>
        </w:rPr>
        <w:t>, [</w:t>
      </w:r>
      <w:r w:rsidRPr="00AF4C2D">
        <w:rPr>
          <w:rFonts w:ascii="Calibri" w:eastAsia="Calibri" w:hAnsi="Calibri" w:cs="Times New Roman"/>
          <w:sz w:val="20"/>
          <w:szCs w:val="20"/>
          <w:lang w:val="en-GB"/>
        </w:rPr>
        <w:t>§23(1)</w:t>
      </w:r>
      <w:r>
        <w:rPr>
          <w:rFonts w:ascii="Calibri" w:eastAsia="Calibri" w:hAnsi="Calibri" w:cs="Times New Roman"/>
          <w:sz w:val="20"/>
          <w:szCs w:val="20"/>
          <w:lang w:val="en-GB"/>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Carinthia, </w:t>
      </w:r>
      <w:r w:rsidRPr="00D27000">
        <w:rPr>
          <w:rFonts w:ascii="Calibri" w:eastAsia="Calibri" w:hAnsi="Calibri" w:cs="Times New Roman"/>
          <w:sz w:val="20"/>
          <w:szCs w:val="20"/>
          <w:lang w:val="en-US"/>
        </w:rPr>
        <w:t>LGBl No. 32/2002</w:t>
      </w:r>
      <w:r>
        <w:rPr>
          <w:rFonts w:ascii="Calibri" w:eastAsia="Calibri" w:hAnsi="Calibri" w:cs="Times New Roman"/>
          <w:sz w:val="20"/>
          <w:szCs w:val="20"/>
          <w:lang w:val="en-US"/>
        </w:rPr>
        <w:t>, [</w:t>
      </w:r>
      <w:r w:rsidRPr="00AF4C2D">
        <w:rPr>
          <w:rFonts w:ascii="Calibri" w:eastAsia="Calibri" w:hAnsi="Calibri" w:cs="Times New Roman"/>
          <w:sz w:val="20"/>
          <w:szCs w:val="20"/>
          <w:lang w:val="en-US"/>
        </w:rPr>
        <w:t>§25(1)</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Lower Austria, </w:t>
      </w:r>
      <w:r w:rsidRPr="00D27000">
        <w:rPr>
          <w:rFonts w:ascii="Calibri" w:eastAsia="Calibri" w:hAnsi="Calibri" w:cs="Times New Roman"/>
          <w:sz w:val="20"/>
          <w:szCs w:val="20"/>
          <w:lang w:val="en-US"/>
        </w:rPr>
        <w:t>LGBl No. 112/1994</w:t>
      </w:r>
      <w:r>
        <w:rPr>
          <w:rFonts w:ascii="Calibri" w:eastAsia="Calibri" w:hAnsi="Calibri" w:cs="Times New Roman"/>
          <w:sz w:val="20"/>
          <w:szCs w:val="20"/>
          <w:lang w:val="en-US"/>
        </w:rPr>
        <w:t>, [</w:t>
      </w:r>
      <w:r>
        <w:rPr>
          <w:rFonts w:ascii="Calibri" w:eastAsia="Calibri" w:hAnsi="Calibri" w:cs="Times New Roman"/>
          <w:sz w:val="20"/>
          <w:szCs w:val="20"/>
          <w:lang w:val="en-GB"/>
        </w:rPr>
        <w:t xml:space="preserve">§23(1)];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Upper Austria, </w:t>
      </w:r>
      <w:r>
        <w:rPr>
          <w:rFonts w:ascii="Calibri" w:eastAsia="Calibri" w:hAnsi="Calibri" w:cs="Times New Roman"/>
          <w:sz w:val="20"/>
          <w:szCs w:val="20"/>
          <w:lang w:val="en-US"/>
        </w:rPr>
        <w:t>LGBl No. 81/1996, [§</w:t>
      </w:r>
      <w:r w:rsidRPr="00AF4C2D">
        <w:rPr>
          <w:rFonts w:ascii="Calibri" w:eastAsia="Calibri" w:hAnsi="Calibri" w:cs="Times New Roman"/>
          <w:sz w:val="20"/>
          <w:szCs w:val="20"/>
          <w:lang w:val="en-US"/>
        </w:rPr>
        <w:t>20(1)</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Salzburg, </w:t>
      </w:r>
      <w:r>
        <w:rPr>
          <w:rFonts w:ascii="Calibri" w:eastAsia="Calibri" w:hAnsi="Calibri" w:cs="Times New Roman"/>
          <w:sz w:val="20"/>
          <w:szCs w:val="20"/>
          <w:lang w:val="en-US"/>
        </w:rPr>
        <w:t>LGBl No. 117/1998, [</w:t>
      </w:r>
      <w:r w:rsidRPr="00AF4C2D">
        <w:rPr>
          <w:rFonts w:ascii="Calibri" w:eastAsia="Calibri" w:hAnsi="Calibri" w:cs="Times New Roman"/>
          <w:sz w:val="20"/>
          <w:szCs w:val="20"/>
          <w:lang w:val="en-US"/>
        </w:rPr>
        <w:t>§27(1)</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Styria,</w:t>
      </w:r>
      <w:r w:rsidRPr="00DE5C49">
        <w:rPr>
          <w:rFonts w:ascii="Calibri" w:eastAsia="Calibri" w:hAnsi="Calibri" w:cs="Times New Roman"/>
          <w:sz w:val="20"/>
          <w:szCs w:val="20"/>
          <w:lang w:val="en-US"/>
        </w:rPr>
        <w:t xml:space="preserve"> </w:t>
      </w:r>
      <w:r w:rsidRPr="00D27000">
        <w:rPr>
          <w:rFonts w:ascii="Calibri" w:eastAsia="Calibri" w:hAnsi="Calibri" w:cs="Times New Roman"/>
          <w:sz w:val="20"/>
          <w:szCs w:val="20"/>
          <w:lang w:val="en-US"/>
        </w:rPr>
        <w:t>LGBl No. 59/2009</w:t>
      </w:r>
      <w:r>
        <w:rPr>
          <w:rFonts w:ascii="Calibri" w:eastAsia="Calibri" w:hAnsi="Calibri" w:cs="Times New Roman"/>
          <w:sz w:val="20"/>
          <w:szCs w:val="20"/>
          <w:lang w:val="en-US"/>
        </w:rPr>
        <w:t>, [</w:t>
      </w:r>
      <w:r w:rsidRPr="00AF4C2D">
        <w:rPr>
          <w:rFonts w:ascii="Calibri" w:eastAsia="Calibri" w:hAnsi="Calibri" w:cs="Times New Roman"/>
          <w:sz w:val="20"/>
          <w:szCs w:val="20"/>
          <w:lang w:val="en-GB"/>
        </w:rPr>
        <w:t>§31(1)</w:t>
      </w:r>
      <w:r>
        <w:rPr>
          <w:rFonts w:ascii="Calibri" w:eastAsia="Calibri" w:hAnsi="Calibri" w:cs="Times New Roman"/>
          <w:sz w:val="20"/>
          <w:szCs w:val="20"/>
          <w:lang w:val="en-GB"/>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Graz, </w:t>
      </w:r>
      <w:r w:rsidRPr="00DE5C49">
        <w:rPr>
          <w:sz w:val="20"/>
          <w:szCs w:val="20"/>
          <w:lang w:val="en-US"/>
        </w:rPr>
        <w:t>LGBl No. 86/2012</w:t>
      </w:r>
      <w:r>
        <w:rPr>
          <w:sz w:val="20"/>
          <w:szCs w:val="20"/>
          <w:lang w:val="en-US"/>
        </w:rPr>
        <w:t>, [§</w:t>
      </w:r>
      <w:r w:rsidRPr="00997582">
        <w:rPr>
          <w:sz w:val="20"/>
          <w:szCs w:val="20"/>
          <w:lang w:val="en-US"/>
        </w:rPr>
        <w:t>25(1)</w:t>
      </w:r>
      <w:r>
        <w:rPr>
          <w:sz w:val="20"/>
          <w:szCs w:val="20"/>
          <w:lang w:val="en-US"/>
        </w:rPr>
        <w:t xml:space="preserve">]; Austria, </w:t>
      </w:r>
      <w:r w:rsidRPr="006202F0">
        <w:rPr>
          <w:sz w:val="20"/>
          <w:szCs w:val="20"/>
          <w:lang w:val="en-US"/>
        </w:rPr>
        <w:t>Act on municipal election in the province of</w:t>
      </w:r>
      <w:r>
        <w:rPr>
          <w:sz w:val="20"/>
          <w:szCs w:val="20"/>
          <w:lang w:val="en-US"/>
        </w:rPr>
        <w:t xml:space="preserve"> Tyrol, </w:t>
      </w:r>
      <w:r w:rsidRPr="00D27000">
        <w:rPr>
          <w:rFonts w:ascii="Calibri" w:eastAsia="Calibri" w:hAnsi="Calibri" w:cs="Times New Roman"/>
          <w:sz w:val="20"/>
          <w:szCs w:val="20"/>
          <w:lang w:val="en-US"/>
        </w:rPr>
        <w:t>LGBl No. 88/1994</w:t>
      </w:r>
      <w:r>
        <w:rPr>
          <w:rFonts w:ascii="Calibri" w:eastAsia="Calibri" w:hAnsi="Calibri" w:cs="Times New Roman"/>
          <w:sz w:val="20"/>
          <w:szCs w:val="20"/>
          <w:lang w:val="en-US"/>
        </w:rPr>
        <w:t>, [</w:t>
      </w:r>
      <w:r w:rsidRPr="00AF4C2D">
        <w:rPr>
          <w:rFonts w:ascii="Calibri" w:eastAsia="Calibri" w:hAnsi="Calibri" w:cs="Times New Roman"/>
          <w:sz w:val="20"/>
          <w:szCs w:val="20"/>
          <w:lang w:val="en-US"/>
        </w:rPr>
        <w:t>§28(1)</w:t>
      </w:r>
      <w:r>
        <w:rPr>
          <w:rFonts w:ascii="Calibri" w:eastAsia="Calibri" w:hAnsi="Calibri" w:cs="Times New Roman"/>
          <w:sz w:val="20"/>
          <w:szCs w:val="20"/>
          <w:lang w:val="en-US"/>
        </w:rPr>
        <w:t xml:space="preserve">]; </w:t>
      </w:r>
      <w:r>
        <w:rPr>
          <w:sz w:val="20"/>
          <w:szCs w:val="20"/>
          <w:lang w:val="en-US"/>
        </w:rPr>
        <w:t xml:space="preserve">Austria, </w:t>
      </w:r>
      <w:r w:rsidRPr="006202F0">
        <w:rPr>
          <w:sz w:val="20"/>
          <w:szCs w:val="20"/>
          <w:lang w:val="en-US"/>
        </w:rPr>
        <w:t>Act on municipal election in the province of</w:t>
      </w:r>
      <w:r>
        <w:rPr>
          <w:sz w:val="20"/>
          <w:szCs w:val="20"/>
          <w:lang w:val="en-US"/>
        </w:rPr>
        <w:t xml:space="preserve"> the City of Vienna, </w:t>
      </w:r>
      <w:r w:rsidRPr="00D27000">
        <w:rPr>
          <w:rFonts w:ascii="Calibri" w:eastAsia="Calibri" w:hAnsi="Calibri" w:cs="Times New Roman"/>
          <w:sz w:val="20"/>
          <w:szCs w:val="20"/>
          <w:lang w:val="en-US"/>
        </w:rPr>
        <w:t>LGBl No. 16/1996</w:t>
      </w:r>
      <w:r>
        <w:rPr>
          <w:rFonts w:ascii="Calibri" w:eastAsia="Calibri" w:hAnsi="Calibri" w:cs="Times New Roman"/>
          <w:sz w:val="20"/>
          <w:szCs w:val="20"/>
          <w:lang w:val="en-US"/>
        </w:rPr>
        <w:t>, [</w:t>
      </w:r>
      <w:r>
        <w:rPr>
          <w:sz w:val="20"/>
          <w:szCs w:val="20"/>
          <w:lang w:val="en-US"/>
        </w:rPr>
        <w:t>§</w:t>
      </w:r>
      <w:r w:rsidRPr="00AF4C2D">
        <w:rPr>
          <w:sz w:val="20"/>
          <w:szCs w:val="20"/>
          <w:lang w:val="en-US"/>
        </w:rPr>
        <w:t>30(1)</w:t>
      </w:r>
      <w:r>
        <w:rPr>
          <w:sz w:val="20"/>
          <w:szCs w:val="20"/>
          <w:lang w:val="en-US"/>
        </w:rPr>
        <w:t xml:space="preserve">]; </w:t>
      </w:r>
      <w:r w:rsidRPr="00734710">
        <w:rPr>
          <w:sz w:val="20"/>
          <w:szCs w:val="20"/>
          <w:lang w:val="en-US"/>
        </w:rPr>
        <w:t xml:space="preserve">Austria, Act on municipal election in the province of Vorarlberg, </w:t>
      </w:r>
      <w:r w:rsidRPr="00734710">
        <w:rPr>
          <w:rFonts w:ascii="Calibri" w:eastAsia="Calibri" w:hAnsi="Calibri" w:cs="Times New Roman"/>
          <w:sz w:val="20"/>
          <w:szCs w:val="20"/>
          <w:lang w:val="en-US"/>
        </w:rPr>
        <w:t>LGBl No. 30/1999, [§12(3)]</w:t>
      </w:r>
      <w:r>
        <w:rPr>
          <w:sz w:val="20"/>
          <w:szCs w:val="20"/>
          <w:lang w:val="en-US"/>
        </w:rPr>
        <w:t>.</w:t>
      </w:r>
    </w:p>
  </w:footnote>
  <w:footnote w:id="32">
    <w:p w14:paraId="2E4062CE" w14:textId="11494F76" w:rsidR="004F70B0" w:rsidRDefault="004F70B0">
      <w:pPr>
        <w:pStyle w:val="FootnoteText"/>
      </w:pPr>
      <w:r>
        <w:rPr>
          <w:rStyle w:val="FootnoteReference"/>
        </w:rPr>
        <w:footnoteRef/>
      </w:r>
      <w:r>
        <w:t xml:space="preserve"> </w:t>
      </w:r>
      <w:r w:rsidRPr="00EE08FD">
        <w:rPr>
          <w:i/>
        </w:rPr>
        <w:t>Implementation of the Convention on the Rights of Persons with Disabilities, Initial reports submitted by States parties under article 35 of the Convention - Austria</w:t>
      </w:r>
      <w:r w:rsidRPr="00EE08FD">
        <w:t>, Nov 2010, para 316&amp;317, p. 46</w:t>
      </w:r>
    </w:p>
  </w:footnote>
  <w:footnote w:id="33">
    <w:p w14:paraId="5B16090D" w14:textId="21863028" w:rsidR="004F70B0" w:rsidRDefault="004F70B0" w:rsidP="00882643">
      <w:pPr>
        <w:pStyle w:val="FootnoteText"/>
      </w:pPr>
      <w:r>
        <w:rPr>
          <w:rStyle w:val="FootnoteReference"/>
        </w:rPr>
        <w:footnoteRef/>
      </w:r>
      <w:r>
        <w:t xml:space="preserve"> Austria, Parliament (Parlament), Proposal for an Amendment of the Federal Disability Law and the </w:t>
      </w:r>
      <w:r w:rsidRPr="00882643">
        <w:t>Federal Social Services Act</w:t>
      </w:r>
      <w:r>
        <w:t xml:space="preserve"> (</w:t>
      </w:r>
      <w:r w:rsidRPr="00C2602A">
        <w:rPr>
          <w:i/>
        </w:rPr>
        <w:t>Ministerialentwurf betreffend ein Bundesgesetz, mit dem das Bundesbehindertengeset</w:t>
      </w:r>
      <w:r>
        <w:rPr>
          <w:i/>
        </w:rPr>
        <w:t>z</w:t>
      </w:r>
      <w:r w:rsidRPr="00C2602A">
        <w:rPr>
          <w:i/>
        </w:rPr>
        <w:t xml:space="preserve"> und das Bundessozialamtsgesetz</w:t>
      </w:r>
      <w:r>
        <w:t xml:space="preserve"> </w:t>
      </w:r>
      <w:r w:rsidRPr="00C2602A">
        <w:rPr>
          <w:i/>
        </w:rPr>
        <w:t>geändert werden</w:t>
      </w:r>
      <w:r>
        <w:t xml:space="preserve">), 2 April 2014, available at: </w:t>
      </w:r>
      <w:hyperlink r:id="rId19" w:history="1">
        <w:r w:rsidRPr="00840CC6">
          <w:rPr>
            <w:rStyle w:val="Hyperlink"/>
          </w:rPr>
          <w:t>http://www.parlament.gv.at/PAKT/VHG/XXV/ME/ME_00025/index.shtml</w:t>
        </w:r>
      </w:hyperlink>
      <w:r w:rsidRPr="000F7A89">
        <w:t xml:space="preserve"> </w:t>
      </w:r>
    </w:p>
  </w:footnote>
  <w:footnote w:id="34">
    <w:p w14:paraId="5FE1DA4C" w14:textId="0BF411B3" w:rsidR="004F70B0" w:rsidRDefault="004F70B0" w:rsidP="00882643">
      <w:pPr>
        <w:pStyle w:val="FootnoteText"/>
      </w:pPr>
      <w:r>
        <w:rPr>
          <w:rStyle w:val="FootnoteReference"/>
        </w:rPr>
        <w:footnoteRef/>
      </w:r>
      <w:r>
        <w:t xml:space="preserve"> </w:t>
      </w:r>
      <w:r w:rsidRPr="0048709A">
        <w:t>BMASK (2012), National Action Plan on Disability 2012-2020</w:t>
      </w:r>
      <w:r>
        <w:t xml:space="preserve"> -</w:t>
      </w:r>
      <w:r w:rsidRPr="0048709A">
        <w:t xml:space="preserve"> Strategy of the Austrian Federal Government for the Implementation of the UN Disability Rights Convention (</w:t>
      </w:r>
      <w:r w:rsidRPr="007453E6">
        <w:rPr>
          <w:i/>
        </w:rPr>
        <w:t>Nationaler Aktionsplan Behinderung 2012-2020. Strategie der Österreichischen Bundesregierung zur Umsetzung der UN-Behindertenrechtskonvention</w:t>
      </w:r>
      <w:r w:rsidRPr="0048709A">
        <w:t>),</w:t>
      </w:r>
      <w:r>
        <w:t xml:space="preserve"> p. 7, available at: </w:t>
      </w:r>
      <w:hyperlink r:id="rId20" w:history="1">
        <w:r w:rsidRPr="00840CC6">
          <w:rPr>
            <w:rStyle w:val="Hyperlink"/>
          </w:rPr>
          <w:t>https://www.bmask.gv.at/cms/site/attachments/1/1/5/CH2081/CMS1343116498970/120725_nap_web.pdf</w:t>
        </w:r>
      </w:hyperlink>
    </w:p>
  </w:footnote>
  <w:footnote w:id="35">
    <w:p w14:paraId="18AFBFCD" w14:textId="675819E1" w:rsidR="004F70B0" w:rsidRDefault="004F70B0">
      <w:pPr>
        <w:pStyle w:val="FootnoteText"/>
      </w:pPr>
      <w:r>
        <w:rPr>
          <w:rStyle w:val="FootnoteReference"/>
        </w:rPr>
        <w:footnoteRef/>
      </w:r>
      <w:r>
        <w:rPr>
          <w:lang w:val="en-US"/>
        </w:rPr>
        <w:t>Federal Disability Act  (</w:t>
      </w:r>
      <w:r w:rsidRPr="00BD159E">
        <w:rPr>
          <w:rFonts w:ascii="Times New Roman" w:hAnsi="Times New Roman" w:cs="Times New Roman"/>
          <w:i/>
          <w:color w:val="000000"/>
          <w:lang w:val="en-US"/>
        </w:rPr>
        <w:t xml:space="preserve">Bundesgesetz vom 17. </w:t>
      </w:r>
      <w:r w:rsidRPr="00BD159E">
        <w:rPr>
          <w:rFonts w:ascii="Times New Roman" w:hAnsi="Times New Roman" w:cs="Times New Roman"/>
          <w:i/>
          <w:color w:val="000000"/>
          <w:lang w:val="de-DE"/>
        </w:rPr>
        <w:t>Mai 1990 über die Beratung, Betreuung und besondere Hilfe für behinderte Menschen (Bundesbehindertengesetz - BBG)</w:t>
      </w:r>
      <w:r>
        <w:rPr>
          <w:rFonts w:ascii="Times New Roman" w:hAnsi="Times New Roman" w:cs="Times New Roman"/>
          <w:i/>
          <w:color w:val="000000"/>
          <w:lang w:val="de-DE"/>
        </w:rPr>
        <w:t xml:space="preserve">, </w:t>
      </w:r>
      <w:r w:rsidRPr="00B803AD">
        <w:rPr>
          <w:lang w:val="de-AT"/>
        </w:rPr>
        <w:t>available at:</w:t>
      </w:r>
      <w:r w:rsidRPr="00BD159E">
        <w:rPr>
          <w:rFonts w:ascii="Times New Roman" w:hAnsi="Times New Roman" w:cs="Times New Roman"/>
          <w:color w:val="000000"/>
          <w:lang w:val="de-DE"/>
        </w:rPr>
        <w:t xml:space="preserve"> </w:t>
      </w:r>
      <w:r>
        <w:t xml:space="preserve"> </w:t>
      </w:r>
      <w:r w:rsidRPr="00B720A8">
        <w:t>https://www.ris.bka.gv.at/GeltendeFassung.wxe?Abfrage=Bundesnormen&amp;Gesetzesnummer=10008713</w:t>
      </w:r>
    </w:p>
  </w:footnote>
  <w:footnote w:id="36">
    <w:p w14:paraId="16855AEF" w14:textId="7B2406AF" w:rsidR="004F70B0" w:rsidRPr="00BD159E" w:rsidRDefault="004F70B0" w:rsidP="00EA04F8">
      <w:pPr>
        <w:pStyle w:val="FootnoteText"/>
        <w:contextualSpacing/>
        <w:rPr>
          <w:lang w:val="de-AT"/>
        </w:rPr>
      </w:pPr>
      <w:r>
        <w:rPr>
          <w:rStyle w:val="FootnoteReference"/>
        </w:rPr>
        <w:footnoteRef/>
      </w:r>
      <w:r>
        <w:rPr>
          <w:lang w:val="en-US"/>
        </w:rPr>
        <w:t>Austria,</w:t>
      </w:r>
      <w:r w:rsidRPr="00BD159E">
        <w:rPr>
          <w:lang w:val="en-US"/>
        </w:rPr>
        <w:t xml:space="preserve"> Federal Act from May 17th 1990 on </w:t>
      </w:r>
      <w:r>
        <w:rPr>
          <w:lang w:val="en-US"/>
        </w:rPr>
        <w:t>counseling, care and special help for disabled persons – Federal Disability Act  (</w:t>
      </w:r>
      <w:r w:rsidRPr="00BD159E">
        <w:rPr>
          <w:rFonts w:ascii="Times New Roman" w:hAnsi="Times New Roman" w:cs="Times New Roman"/>
          <w:i/>
          <w:color w:val="000000"/>
          <w:lang w:val="en-US"/>
        </w:rPr>
        <w:t xml:space="preserve">Bundesgesetz vom 17. </w:t>
      </w:r>
      <w:r w:rsidRPr="00BD159E">
        <w:rPr>
          <w:rFonts w:ascii="Times New Roman" w:hAnsi="Times New Roman" w:cs="Times New Roman"/>
          <w:i/>
          <w:color w:val="000000"/>
          <w:lang w:val="de-DE"/>
        </w:rPr>
        <w:t>Mai 1990 über die Beratung, Betreuung und besondere Hilfe für behinderte Menschen (Bundesbehindertengesetz - BBG)</w:t>
      </w:r>
      <w:r>
        <w:rPr>
          <w:rFonts w:ascii="Times New Roman" w:hAnsi="Times New Roman" w:cs="Times New Roman"/>
          <w:i/>
          <w:color w:val="000000"/>
          <w:lang w:val="de-DE"/>
        </w:rPr>
        <w:t xml:space="preserve">, </w:t>
      </w:r>
      <w:r w:rsidRPr="00B803AD">
        <w:rPr>
          <w:lang w:val="de-AT"/>
        </w:rPr>
        <w:t>available at:</w:t>
      </w:r>
      <w:r w:rsidRPr="00BD159E">
        <w:rPr>
          <w:rFonts w:ascii="Times New Roman" w:hAnsi="Times New Roman" w:cs="Times New Roman"/>
          <w:color w:val="000000"/>
          <w:lang w:val="de-DE"/>
        </w:rPr>
        <w:t xml:space="preserve"> </w:t>
      </w:r>
      <w:hyperlink r:id="rId21" w:history="1">
        <w:r w:rsidRPr="00840CC6">
          <w:rPr>
            <w:rStyle w:val="Hyperlink"/>
            <w:lang w:val="de-AT"/>
          </w:rPr>
          <w:t>www.ris.bka.gv.at/GeltendeFassung.wxe?Abfrage=Bundesnormen&amp;Gesetzesnummer=10008713</w:t>
        </w:r>
      </w:hyperlink>
    </w:p>
  </w:footnote>
  <w:footnote w:id="37">
    <w:p w14:paraId="14FE52A1" w14:textId="16D20A9C" w:rsidR="004F70B0" w:rsidRPr="00E1465E" w:rsidRDefault="004F70B0">
      <w:pPr>
        <w:pStyle w:val="FootnoteText"/>
        <w:rPr>
          <w:lang w:val="de-AT"/>
        </w:rPr>
      </w:pPr>
      <w:r>
        <w:rPr>
          <w:rStyle w:val="FootnoteReference"/>
        </w:rPr>
        <w:footnoteRef/>
      </w:r>
      <w:r>
        <w:t xml:space="preserve"> Austria, </w:t>
      </w:r>
      <w:r>
        <w:rPr>
          <w:rFonts w:eastAsia="Calibri" w:cs="Times New Roman"/>
        </w:rPr>
        <w:t>BMASK (2012), National Action Plan on Disability 2012-2020. Strategy of the Austrian Federal Government for the Implementation of the UN Disability Rights Convention (</w:t>
      </w:r>
      <w:r>
        <w:rPr>
          <w:rFonts w:eastAsia="Calibri" w:cs="Times New Roman"/>
          <w:i/>
        </w:rPr>
        <w:t xml:space="preserve">Nationaler Aktionsplan Behinderung 2012-2020. </w:t>
      </w:r>
      <w:r>
        <w:rPr>
          <w:rFonts w:eastAsia="Calibri" w:cs="Times New Roman"/>
          <w:i/>
          <w:lang w:val="de-AT"/>
        </w:rPr>
        <w:t>Strategie der Österreichischen Bundesregierung zur Umsetzung der UN-Behindertenrechtskonvention</w:t>
      </w:r>
      <w:r>
        <w:rPr>
          <w:rFonts w:eastAsia="Calibri" w:cs="Times New Roman"/>
          <w:lang w:val="de-AT"/>
        </w:rPr>
        <w:t>), Vienna</w:t>
      </w:r>
    </w:p>
  </w:footnote>
  <w:footnote w:id="38">
    <w:p w14:paraId="7BB49442" w14:textId="5D4AFB40" w:rsidR="004F70B0" w:rsidRPr="001149A6" w:rsidRDefault="004F70B0" w:rsidP="00EA04F8">
      <w:pPr>
        <w:pStyle w:val="FootnoteText"/>
      </w:pPr>
      <w:r>
        <w:rPr>
          <w:rStyle w:val="FootnoteReference"/>
        </w:rPr>
        <w:footnoteRef/>
      </w:r>
      <w:r>
        <w:t xml:space="preserve"> Austria, Monitoring Committee (</w:t>
      </w:r>
      <w:r>
        <w:rPr>
          <w:i/>
        </w:rPr>
        <w:t xml:space="preserve">Monitoringausschuss) </w:t>
      </w:r>
      <w:r>
        <w:t>(2013), Statement on implementation of accessible right to vote (</w:t>
      </w:r>
      <w:r>
        <w:rPr>
          <w:i/>
        </w:rPr>
        <w:t xml:space="preserve">Stellungnahme Verwirklichung Barrierefreies Wahlrecht), </w:t>
      </w:r>
      <w:r>
        <w:t xml:space="preserve">31 July 2013, available at: </w:t>
      </w:r>
      <w:hyperlink r:id="rId22" w:history="1">
        <w:r w:rsidRPr="00840CC6">
          <w:rPr>
            <w:rStyle w:val="Hyperlink"/>
          </w:rPr>
          <w:t>www.monitoringausschuss.at/sym/monitoringausschuss/Stellungnahmen</w:t>
        </w:r>
      </w:hyperlink>
      <w:r>
        <w:t>.</w:t>
      </w:r>
    </w:p>
  </w:footnote>
  <w:footnote w:id="39">
    <w:p w14:paraId="176B3BF9" w14:textId="77777777" w:rsidR="004F70B0" w:rsidRPr="00DC477B" w:rsidRDefault="004F70B0" w:rsidP="00EA04F8">
      <w:pPr>
        <w:pStyle w:val="FootnoteText"/>
        <w:rPr>
          <w:sz w:val="18"/>
          <w:szCs w:val="18"/>
        </w:rPr>
      </w:pPr>
      <w:r w:rsidRPr="00DC477B">
        <w:rPr>
          <w:rStyle w:val="FootnoteReference"/>
          <w:sz w:val="18"/>
          <w:szCs w:val="18"/>
        </w:rPr>
        <w:footnoteRef/>
      </w:r>
      <w:r w:rsidRPr="00DC477B">
        <w:rPr>
          <w:sz w:val="18"/>
          <w:szCs w:val="18"/>
        </w:rPr>
        <w:t xml:space="preserve"> </w:t>
      </w:r>
      <w:r w:rsidRPr="00840CC6">
        <w:rPr>
          <w:rFonts w:eastAsia="Calibri" w:cs="Times New Roman"/>
        </w:rPr>
        <w:t>Information provided by the Austrian Disability Ombudsman (</w:t>
      </w:r>
      <w:r w:rsidRPr="00840CC6">
        <w:rPr>
          <w:rFonts w:eastAsia="Calibri" w:cs="Times New Roman"/>
          <w:i/>
        </w:rPr>
        <w:t>Österreichische Behindertenanwaltschaft</w:t>
      </w:r>
      <w:r w:rsidRPr="00840CC6">
        <w:rPr>
          <w:rFonts w:eastAsia="Calibri" w:cs="Times New Roman"/>
        </w:rPr>
        <w:t>) on 11 July 2013 in a response to an information request.</w:t>
      </w:r>
    </w:p>
  </w:footnote>
  <w:footnote w:id="40">
    <w:p w14:paraId="4C855E64" w14:textId="5074385F" w:rsidR="004F70B0" w:rsidRPr="00DC477B" w:rsidRDefault="004F70B0" w:rsidP="00EA04F8">
      <w:pPr>
        <w:pStyle w:val="FootnoteText"/>
        <w:contextualSpacing/>
        <w:rPr>
          <w:rFonts w:cstheme="minorHAnsi"/>
          <w:sz w:val="18"/>
          <w:szCs w:val="18"/>
        </w:rPr>
      </w:pPr>
      <w:r w:rsidRPr="00DC477B">
        <w:rPr>
          <w:rStyle w:val="FootnoteReference"/>
          <w:rFonts w:cstheme="minorHAnsi"/>
          <w:sz w:val="18"/>
          <w:szCs w:val="18"/>
        </w:rPr>
        <w:footnoteRef/>
      </w:r>
      <w:r w:rsidRPr="00DC477B">
        <w:rPr>
          <w:rFonts w:cstheme="minorHAnsi"/>
          <w:sz w:val="18"/>
          <w:szCs w:val="18"/>
        </w:rPr>
        <w:t xml:space="preserve"> </w:t>
      </w:r>
      <w:r w:rsidRPr="00840CC6">
        <w:rPr>
          <w:rFonts w:eastAsia="Calibri" w:cs="Times New Roman"/>
        </w:rPr>
        <w:t>Austria, Wegscheider, A. (2013), ‘Political Participatio</w:t>
      </w:r>
      <w:r>
        <w:rPr>
          <w:rFonts w:eastAsia="Calibri" w:cs="Times New Roman"/>
        </w:rPr>
        <w:t xml:space="preserve">n of Persons with Disabilities’, </w:t>
      </w:r>
      <w:r w:rsidRPr="00840CC6">
        <w:rPr>
          <w:rFonts w:eastAsia="Calibri" w:cs="Times New Roman"/>
        </w:rPr>
        <w:t>SWS-Rundschau Vol. 53, No 2, pp. 216-234. No further case references available.</w:t>
      </w:r>
      <w:r w:rsidRPr="00DC477B">
        <w:rPr>
          <w:rFonts w:cstheme="minorHAnsi"/>
          <w:sz w:val="18"/>
          <w:szCs w:val="18"/>
          <w:lang w:val="en-US"/>
        </w:rPr>
        <w:t xml:space="preserve"> </w:t>
      </w:r>
    </w:p>
  </w:footnote>
  <w:footnote w:id="41">
    <w:p w14:paraId="3382EDDB" w14:textId="77777777" w:rsidR="004F70B0" w:rsidRPr="002C725D" w:rsidRDefault="004F70B0" w:rsidP="00EA04F8">
      <w:pPr>
        <w:pStyle w:val="FootnoteText"/>
        <w:rPr>
          <w:lang w:val="en-US"/>
        </w:rPr>
      </w:pPr>
      <w:r w:rsidRPr="00DC477B">
        <w:rPr>
          <w:rStyle w:val="FootnoteReference"/>
          <w:rFonts w:cstheme="minorHAnsi"/>
          <w:sz w:val="18"/>
          <w:szCs w:val="18"/>
        </w:rPr>
        <w:footnoteRef/>
      </w:r>
      <w:r w:rsidRPr="00DC477B">
        <w:rPr>
          <w:rFonts w:cstheme="minorHAnsi"/>
          <w:sz w:val="18"/>
          <w:szCs w:val="18"/>
        </w:rPr>
        <w:t xml:space="preserve"> </w:t>
      </w:r>
      <w:r w:rsidRPr="00840CC6">
        <w:rPr>
          <w:rFonts w:cstheme="minorHAnsi"/>
          <w:szCs w:val="18"/>
          <w:lang w:val="en-US"/>
        </w:rPr>
        <w:t xml:space="preserve">Information provided by the Austrian Disability Ombudsman </w:t>
      </w:r>
      <w:r w:rsidRPr="00840CC6">
        <w:rPr>
          <w:rFonts w:cstheme="minorHAnsi"/>
          <w:i/>
          <w:szCs w:val="18"/>
          <w:lang w:val="en-US"/>
        </w:rPr>
        <w:t>(Österreichische Behindertenanwaltschaft)</w:t>
      </w:r>
      <w:r w:rsidRPr="00840CC6">
        <w:rPr>
          <w:rFonts w:cstheme="minorHAnsi"/>
          <w:szCs w:val="18"/>
          <w:lang w:val="en-US"/>
        </w:rPr>
        <w:t xml:space="preserve"> on 11 July 2013 in a response to an information request.</w:t>
      </w:r>
    </w:p>
  </w:footnote>
  <w:footnote w:id="42">
    <w:p w14:paraId="40EBC7FF" w14:textId="77777777" w:rsidR="004F70B0" w:rsidRPr="00DC477B" w:rsidRDefault="004F70B0" w:rsidP="00EA04F8">
      <w:pPr>
        <w:spacing w:after="0" w:line="240" w:lineRule="auto"/>
        <w:contextualSpacing/>
        <w:rPr>
          <w:sz w:val="18"/>
          <w:szCs w:val="18"/>
        </w:rPr>
      </w:pPr>
      <w:r w:rsidRPr="00DC477B">
        <w:rPr>
          <w:rStyle w:val="FootnoteReference"/>
          <w:sz w:val="18"/>
          <w:szCs w:val="18"/>
        </w:rPr>
        <w:footnoteRef/>
      </w:r>
      <w:r w:rsidRPr="00DC477B">
        <w:rPr>
          <w:sz w:val="18"/>
          <w:szCs w:val="18"/>
        </w:rPr>
        <w:t xml:space="preserve"> </w:t>
      </w:r>
      <w:r w:rsidRPr="00840CC6">
        <w:rPr>
          <w:sz w:val="20"/>
          <w:szCs w:val="20"/>
        </w:rPr>
        <w:t>Austria, Act on municipal election in the province of Burgenland,</w:t>
      </w:r>
      <w:r w:rsidRPr="00840CC6">
        <w:rPr>
          <w:rFonts w:ascii="Calibri" w:eastAsia="Calibri" w:hAnsi="Calibri" w:cs="Times New Roman"/>
          <w:sz w:val="20"/>
          <w:szCs w:val="20"/>
        </w:rPr>
        <w:t xml:space="preserve"> LGBl No.54/1992, [</w:t>
      </w:r>
      <w:r w:rsidRPr="00840CC6">
        <w:rPr>
          <w:rFonts w:ascii="Calibri" w:eastAsia="Calibri" w:hAnsi="Calibri" w:cs="Times New Roman"/>
          <w:sz w:val="20"/>
          <w:szCs w:val="20"/>
          <w:lang w:val="en-GB"/>
        </w:rPr>
        <w:t xml:space="preserve">§23(1)]; </w:t>
      </w:r>
      <w:r w:rsidRPr="00840CC6">
        <w:rPr>
          <w:sz w:val="20"/>
          <w:szCs w:val="20"/>
        </w:rPr>
        <w:t xml:space="preserve">Austria, Act on municipal election in the province of Carinthia, </w:t>
      </w:r>
      <w:r w:rsidRPr="00840CC6">
        <w:rPr>
          <w:rFonts w:ascii="Calibri" w:eastAsia="Calibri" w:hAnsi="Calibri" w:cs="Times New Roman"/>
          <w:sz w:val="20"/>
          <w:szCs w:val="20"/>
        </w:rPr>
        <w:t xml:space="preserve">LGBl No. 32/2002, [§25(1)]; </w:t>
      </w:r>
      <w:r w:rsidRPr="00840CC6">
        <w:rPr>
          <w:sz w:val="20"/>
          <w:szCs w:val="20"/>
        </w:rPr>
        <w:t xml:space="preserve">Austria, Act on municipal election in the province of Lower Austria, </w:t>
      </w:r>
      <w:r w:rsidRPr="00840CC6">
        <w:rPr>
          <w:rFonts w:ascii="Calibri" w:eastAsia="Calibri" w:hAnsi="Calibri" w:cs="Times New Roman"/>
          <w:sz w:val="20"/>
          <w:szCs w:val="20"/>
        </w:rPr>
        <w:t>LGBl No. 112/1994, [</w:t>
      </w:r>
      <w:r w:rsidRPr="00840CC6">
        <w:rPr>
          <w:rFonts w:ascii="Calibri" w:eastAsia="Calibri" w:hAnsi="Calibri" w:cs="Times New Roman"/>
          <w:sz w:val="20"/>
          <w:szCs w:val="20"/>
          <w:lang w:val="en-GB"/>
        </w:rPr>
        <w:t xml:space="preserve">§23(1)]; </w:t>
      </w:r>
      <w:r w:rsidRPr="00840CC6">
        <w:rPr>
          <w:sz w:val="20"/>
          <w:szCs w:val="20"/>
        </w:rPr>
        <w:t xml:space="preserve">Austria, Act on municipal election in the province of Upper Austria, </w:t>
      </w:r>
      <w:r w:rsidRPr="00840CC6">
        <w:rPr>
          <w:rFonts w:ascii="Calibri" w:eastAsia="Calibri" w:hAnsi="Calibri" w:cs="Times New Roman"/>
          <w:sz w:val="20"/>
          <w:szCs w:val="20"/>
        </w:rPr>
        <w:t xml:space="preserve">LGBl No. 81/1996, [§20(1)]; </w:t>
      </w:r>
      <w:r w:rsidRPr="00840CC6">
        <w:rPr>
          <w:sz w:val="20"/>
          <w:szCs w:val="20"/>
        </w:rPr>
        <w:t xml:space="preserve">Austria, Act on municipal election in the province of Salzburg, </w:t>
      </w:r>
      <w:r w:rsidRPr="00840CC6">
        <w:rPr>
          <w:rFonts w:ascii="Calibri" w:eastAsia="Calibri" w:hAnsi="Calibri" w:cs="Times New Roman"/>
          <w:sz w:val="20"/>
          <w:szCs w:val="20"/>
        </w:rPr>
        <w:t xml:space="preserve">LGBl No. 117/1998, [§27(1)]; </w:t>
      </w:r>
      <w:r w:rsidRPr="00840CC6">
        <w:rPr>
          <w:sz w:val="20"/>
          <w:szCs w:val="20"/>
        </w:rPr>
        <w:t>Austria, Act on municipal election in the province of Styria,</w:t>
      </w:r>
      <w:r w:rsidRPr="00840CC6">
        <w:rPr>
          <w:rFonts w:ascii="Calibri" w:eastAsia="Calibri" w:hAnsi="Calibri" w:cs="Times New Roman"/>
          <w:sz w:val="20"/>
          <w:szCs w:val="20"/>
        </w:rPr>
        <w:t xml:space="preserve"> LGBl No. 59/2009, [</w:t>
      </w:r>
      <w:r w:rsidRPr="00840CC6">
        <w:rPr>
          <w:rFonts w:ascii="Calibri" w:eastAsia="Calibri" w:hAnsi="Calibri" w:cs="Times New Roman"/>
          <w:sz w:val="20"/>
          <w:szCs w:val="20"/>
          <w:lang w:val="en-GB"/>
        </w:rPr>
        <w:t xml:space="preserve">§31(1)]; </w:t>
      </w:r>
      <w:r w:rsidRPr="00840CC6">
        <w:rPr>
          <w:sz w:val="20"/>
          <w:szCs w:val="20"/>
        </w:rPr>
        <w:t xml:space="preserve">Austria, Act on municipal election in the province of the City of Graz, LGBl No. 86/2012, [§25(1)]; Austria, Act on municipal election in the province of Tyrol, </w:t>
      </w:r>
      <w:r w:rsidRPr="00840CC6">
        <w:rPr>
          <w:rFonts w:ascii="Calibri" w:eastAsia="Calibri" w:hAnsi="Calibri" w:cs="Times New Roman"/>
          <w:sz w:val="20"/>
          <w:szCs w:val="20"/>
        </w:rPr>
        <w:t xml:space="preserve">LGBl No. 88/1994, [§28(1)]; </w:t>
      </w:r>
      <w:r w:rsidRPr="00840CC6">
        <w:rPr>
          <w:sz w:val="20"/>
          <w:szCs w:val="20"/>
        </w:rPr>
        <w:t xml:space="preserve">Austria, Act on municipal election in the province of the City of Vienna, </w:t>
      </w:r>
      <w:r w:rsidRPr="00840CC6">
        <w:rPr>
          <w:rFonts w:ascii="Calibri" w:eastAsia="Calibri" w:hAnsi="Calibri" w:cs="Times New Roman"/>
          <w:sz w:val="20"/>
          <w:szCs w:val="20"/>
        </w:rPr>
        <w:t>LGBl No. 16/1996, [</w:t>
      </w:r>
      <w:r w:rsidRPr="00840CC6">
        <w:rPr>
          <w:sz w:val="20"/>
          <w:szCs w:val="20"/>
        </w:rPr>
        <w:t xml:space="preserve">§30(1)]; Austria, Act on municipal election in the province of Vorarlberg, </w:t>
      </w:r>
      <w:r w:rsidRPr="00840CC6">
        <w:rPr>
          <w:rFonts w:ascii="Calibri" w:eastAsia="Calibri" w:hAnsi="Calibri" w:cs="Times New Roman"/>
          <w:sz w:val="20"/>
          <w:szCs w:val="20"/>
        </w:rPr>
        <w:t>LGBl No. 30/1999, [§12(3)]</w:t>
      </w:r>
      <w:r w:rsidRPr="00840CC6">
        <w:rPr>
          <w:sz w:val="20"/>
          <w:szCs w:val="20"/>
        </w:rPr>
        <w:t>.</w:t>
      </w:r>
    </w:p>
  </w:footnote>
  <w:footnote w:id="43">
    <w:p w14:paraId="24AABB81" w14:textId="77777777" w:rsidR="004F70B0" w:rsidRPr="00790060" w:rsidRDefault="004F70B0" w:rsidP="00D71050">
      <w:pPr>
        <w:pStyle w:val="FootnoteText"/>
        <w:contextualSpacing/>
      </w:pPr>
      <w:r>
        <w:rPr>
          <w:rStyle w:val="FootnoteReference"/>
        </w:rPr>
        <w:footnoteRef/>
      </w:r>
      <w:r>
        <w:t xml:space="preserve"> </w:t>
      </w:r>
      <w:r w:rsidRPr="00F011AD">
        <w:rPr>
          <w:lang w:val="en-US"/>
        </w:rPr>
        <w:t xml:space="preserve">Information provided by the </w:t>
      </w:r>
      <w:r>
        <w:rPr>
          <w:lang w:val="en-US"/>
        </w:rPr>
        <w:t>Provincial Government of Vorarlberg</w:t>
      </w:r>
      <w:r w:rsidRPr="00F011AD">
        <w:rPr>
          <w:lang w:val="en-US"/>
        </w:rPr>
        <w:t xml:space="preserve"> </w:t>
      </w:r>
      <w:r w:rsidRPr="000872E9">
        <w:rPr>
          <w:i/>
          <w:lang w:val="en-US"/>
        </w:rPr>
        <w:t>(</w:t>
      </w:r>
      <w:r>
        <w:rPr>
          <w:i/>
          <w:lang w:val="en-US"/>
        </w:rPr>
        <w:t>Amt der Voralberger Landesregierung</w:t>
      </w:r>
      <w:r w:rsidRPr="000872E9">
        <w:rPr>
          <w:i/>
          <w:lang w:val="en-US"/>
        </w:rPr>
        <w:t>)</w:t>
      </w:r>
      <w:r>
        <w:rPr>
          <w:lang w:val="en-US"/>
        </w:rPr>
        <w:t xml:space="preserve"> on 3</w:t>
      </w:r>
      <w:r w:rsidRPr="00F011AD">
        <w:rPr>
          <w:lang w:val="en-US"/>
        </w:rPr>
        <w:t xml:space="preserve"> </w:t>
      </w:r>
      <w:r>
        <w:rPr>
          <w:lang w:val="en-US"/>
        </w:rPr>
        <w:t>July</w:t>
      </w:r>
      <w:r w:rsidRPr="00F011AD">
        <w:rPr>
          <w:lang w:val="en-US"/>
        </w:rPr>
        <w:t xml:space="preserve"> 2013 in a response to an information request.</w:t>
      </w:r>
      <w:r>
        <w:rPr>
          <w:lang w:val="en-US"/>
        </w:rPr>
        <w:t xml:space="preserve"> </w:t>
      </w:r>
      <w:r w:rsidRPr="00F011AD">
        <w:rPr>
          <w:lang w:val="en-US"/>
        </w:rPr>
        <w:t xml:space="preserve">Information provided by the </w:t>
      </w:r>
      <w:r>
        <w:rPr>
          <w:lang w:val="en-US"/>
        </w:rPr>
        <w:t>Provincial Government of Styria</w:t>
      </w:r>
      <w:r w:rsidRPr="00F011AD">
        <w:rPr>
          <w:lang w:val="en-US"/>
        </w:rPr>
        <w:t xml:space="preserve"> </w:t>
      </w:r>
      <w:r w:rsidRPr="000872E9">
        <w:rPr>
          <w:i/>
          <w:lang w:val="en-US"/>
        </w:rPr>
        <w:t>(</w:t>
      </w:r>
      <w:r>
        <w:rPr>
          <w:i/>
          <w:lang w:val="en-US"/>
        </w:rPr>
        <w:t>Amt der Steiermärkischen Landesregierung</w:t>
      </w:r>
      <w:r w:rsidRPr="000872E9">
        <w:rPr>
          <w:i/>
          <w:lang w:val="en-US"/>
        </w:rPr>
        <w:t>)</w:t>
      </w:r>
      <w:r>
        <w:rPr>
          <w:lang w:val="en-US"/>
        </w:rPr>
        <w:t xml:space="preserve"> on 5</w:t>
      </w:r>
      <w:r w:rsidRPr="00F011AD">
        <w:rPr>
          <w:lang w:val="en-US"/>
        </w:rPr>
        <w:t xml:space="preserve"> </w:t>
      </w:r>
      <w:r>
        <w:rPr>
          <w:lang w:val="en-US"/>
        </w:rPr>
        <w:t>July</w:t>
      </w:r>
      <w:r w:rsidRPr="00F011AD">
        <w:rPr>
          <w:lang w:val="en-US"/>
        </w:rPr>
        <w:t xml:space="preserve"> 2013 in a response to an information request.</w:t>
      </w:r>
      <w:r>
        <w:rPr>
          <w:lang w:val="en-US"/>
        </w:rPr>
        <w:t xml:space="preserve"> </w:t>
      </w:r>
      <w:r w:rsidRPr="00F011AD">
        <w:rPr>
          <w:lang w:val="en-US"/>
        </w:rPr>
        <w:t xml:space="preserve">Information provided by the </w:t>
      </w:r>
      <w:r>
        <w:rPr>
          <w:lang w:val="en-US"/>
        </w:rPr>
        <w:t xml:space="preserve">Provincial Government of Salzburg </w:t>
      </w:r>
      <w:r w:rsidRPr="000872E9">
        <w:rPr>
          <w:i/>
          <w:lang w:val="en-US"/>
        </w:rPr>
        <w:t>(</w:t>
      </w:r>
      <w:r>
        <w:rPr>
          <w:i/>
          <w:lang w:val="en-US"/>
        </w:rPr>
        <w:t>Amt der Salzburger Landesregierung</w:t>
      </w:r>
      <w:r w:rsidRPr="000872E9">
        <w:rPr>
          <w:i/>
          <w:lang w:val="en-US"/>
        </w:rPr>
        <w:t>)</w:t>
      </w:r>
      <w:r>
        <w:rPr>
          <w:lang w:val="en-US"/>
        </w:rPr>
        <w:t xml:space="preserve"> on 10</w:t>
      </w:r>
      <w:r w:rsidRPr="00F011AD">
        <w:rPr>
          <w:lang w:val="en-US"/>
        </w:rPr>
        <w:t xml:space="preserve"> </w:t>
      </w:r>
      <w:r>
        <w:rPr>
          <w:lang w:val="en-US"/>
        </w:rPr>
        <w:t>July</w:t>
      </w:r>
      <w:r w:rsidRPr="00F011AD">
        <w:rPr>
          <w:lang w:val="en-US"/>
        </w:rPr>
        <w:t xml:space="preserve"> 2013 in a response to an information request.</w:t>
      </w:r>
      <w:r>
        <w:rPr>
          <w:lang w:val="en-US"/>
        </w:rPr>
        <w:t xml:space="preserve"> </w:t>
      </w:r>
      <w:r w:rsidRPr="00F011AD">
        <w:rPr>
          <w:lang w:val="en-US"/>
        </w:rPr>
        <w:t xml:space="preserve">Information provided by the </w:t>
      </w:r>
      <w:r>
        <w:rPr>
          <w:lang w:val="en-US"/>
        </w:rPr>
        <w:t xml:space="preserve">Provincial Government of Tyrol </w:t>
      </w:r>
      <w:r w:rsidRPr="000872E9">
        <w:rPr>
          <w:i/>
          <w:lang w:val="en-US"/>
        </w:rPr>
        <w:t>(</w:t>
      </w:r>
      <w:r>
        <w:rPr>
          <w:i/>
          <w:lang w:val="en-US"/>
        </w:rPr>
        <w:t>Amt der Tiroler Landesregierung</w:t>
      </w:r>
      <w:r w:rsidRPr="000872E9">
        <w:rPr>
          <w:i/>
          <w:lang w:val="en-US"/>
        </w:rPr>
        <w:t>)</w:t>
      </w:r>
      <w:r>
        <w:rPr>
          <w:lang w:val="en-US"/>
        </w:rPr>
        <w:t xml:space="preserve"> on 10</w:t>
      </w:r>
      <w:r w:rsidRPr="00F011AD">
        <w:rPr>
          <w:lang w:val="en-US"/>
        </w:rPr>
        <w:t xml:space="preserve"> </w:t>
      </w:r>
      <w:r>
        <w:rPr>
          <w:lang w:val="en-US"/>
        </w:rPr>
        <w:t>July</w:t>
      </w:r>
      <w:r w:rsidRPr="00F011AD">
        <w:rPr>
          <w:lang w:val="en-US"/>
        </w:rPr>
        <w:t xml:space="preserve"> 2013 in a response to an information request.</w:t>
      </w:r>
      <w:r>
        <w:rPr>
          <w:lang w:val="en-US"/>
        </w:rPr>
        <w:t xml:space="preserve"> </w:t>
      </w:r>
      <w:r w:rsidRPr="00F011AD">
        <w:rPr>
          <w:lang w:val="en-US"/>
        </w:rPr>
        <w:t xml:space="preserve">Information provided by the </w:t>
      </w:r>
      <w:r>
        <w:rPr>
          <w:lang w:val="en-US"/>
        </w:rPr>
        <w:t xml:space="preserve">City of Vienna </w:t>
      </w:r>
      <w:r w:rsidRPr="000872E9">
        <w:rPr>
          <w:i/>
          <w:lang w:val="en-US"/>
        </w:rPr>
        <w:t>(</w:t>
      </w:r>
      <w:r>
        <w:rPr>
          <w:i/>
          <w:lang w:val="en-US"/>
        </w:rPr>
        <w:t>Magistrat der Stadt Wien</w:t>
      </w:r>
      <w:r w:rsidRPr="000872E9">
        <w:rPr>
          <w:i/>
          <w:lang w:val="en-US"/>
        </w:rPr>
        <w:t>)</w:t>
      </w:r>
      <w:r>
        <w:rPr>
          <w:lang w:val="en-US"/>
        </w:rPr>
        <w:t xml:space="preserve"> on 10</w:t>
      </w:r>
      <w:r w:rsidRPr="00F011AD">
        <w:rPr>
          <w:lang w:val="en-US"/>
        </w:rPr>
        <w:t xml:space="preserve"> </w:t>
      </w:r>
      <w:r>
        <w:rPr>
          <w:lang w:val="en-US"/>
        </w:rPr>
        <w:t>July</w:t>
      </w:r>
      <w:r w:rsidRPr="00F011AD">
        <w:rPr>
          <w:lang w:val="en-US"/>
        </w:rPr>
        <w:t xml:space="preserve"> 2013 in a response to an information request.</w:t>
      </w:r>
    </w:p>
  </w:footnote>
  <w:footnote w:id="44">
    <w:p w14:paraId="44E81370" w14:textId="77777777" w:rsidR="004F70B0" w:rsidRPr="00B46AEE" w:rsidRDefault="004F70B0">
      <w:pPr>
        <w:pStyle w:val="FootnoteText"/>
      </w:pPr>
      <w:r>
        <w:rPr>
          <w:rStyle w:val="FootnoteReference"/>
        </w:rPr>
        <w:footnoteRef/>
      </w:r>
      <w:r>
        <w:t xml:space="preserve"> </w:t>
      </w:r>
      <w:r w:rsidRPr="00F011AD">
        <w:rPr>
          <w:lang w:val="en-US"/>
        </w:rPr>
        <w:t xml:space="preserve">Information provided by the </w:t>
      </w:r>
      <w:r>
        <w:rPr>
          <w:lang w:val="en-US"/>
        </w:rPr>
        <w:t xml:space="preserve">City of Vienna </w:t>
      </w:r>
      <w:r w:rsidRPr="000872E9">
        <w:rPr>
          <w:i/>
          <w:lang w:val="en-US"/>
        </w:rPr>
        <w:t>(</w:t>
      </w:r>
      <w:r>
        <w:rPr>
          <w:i/>
          <w:lang w:val="en-US"/>
        </w:rPr>
        <w:t>Magistrat der Stadt Wien</w:t>
      </w:r>
      <w:r w:rsidRPr="000872E9">
        <w:rPr>
          <w:i/>
          <w:lang w:val="en-US"/>
        </w:rPr>
        <w:t>)</w:t>
      </w:r>
      <w:r>
        <w:rPr>
          <w:lang w:val="en-US"/>
        </w:rPr>
        <w:t xml:space="preserve"> on 10</w:t>
      </w:r>
      <w:r w:rsidRPr="00F011AD">
        <w:rPr>
          <w:lang w:val="en-US"/>
        </w:rPr>
        <w:t xml:space="preserve"> </w:t>
      </w:r>
      <w:r>
        <w:rPr>
          <w:lang w:val="en-US"/>
        </w:rPr>
        <w:t>July</w:t>
      </w:r>
      <w:r w:rsidRPr="00F011AD">
        <w:rPr>
          <w:lang w:val="en-US"/>
        </w:rPr>
        <w:t xml:space="preserve"> 2013 in a response to an information request.</w:t>
      </w:r>
    </w:p>
  </w:footnote>
  <w:footnote w:id="45">
    <w:p w14:paraId="29BB9F8C" w14:textId="77777777" w:rsidR="004F70B0" w:rsidRPr="00E835E8" w:rsidRDefault="004F70B0" w:rsidP="00D71050">
      <w:pPr>
        <w:pStyle w:val="FootnoteText"/>
        <w:contextualSpacing/>
      </w:pPr>
      <w:r>
        <w:rPr>
          <w:rStyle w:val="FootnoteReference"/>
        </w:rPr>
        <w:footnoteRef/>
      </w:r>
      <w:r>
        <w:t xml:space="preserve"> </w:t>
      </w:r>
      <w:r w:rsidRPr="00C11DD5">
        <w:rPr>
          <w:lang w:val="en-US"/>
        </w:rPr>
        <w:t xml:space="preserve">Austria, Wegscheider, </w:t>
      </w:r>
      <w:r>
        <w:rPr>
          <w:lang w:val="en-US"/>
        </w:rPr>
        <w:t>A.</w:t>
      </w:r>
      <w:r w:rsidRPr="00C11DD5">
        <w:rPr>
          <w:lang w:val="en-US"/>
        </w:rPr>
        <w:t xml:space="preserve"> (2013), </w:t>
      </w:r>
      <w:r>
        <w:rPr>
          <w:lang w:val="en-US"/>
        </w:rPr>
        <w:t>‘</w:t>
      </w:r>
      <w:r w:rsidRPr="00C11DD5">
        <w:rPr>
          <w:lang w:val="en-US"/>
        </w:rPr>
        <w:t>Political Participation of Persons with Disabilities</w:t>
      </w:r>
      <w:r>
        <w:rPr>
          <w:lang w:val="en-US"/>
        </w:rPr>
        <w:t>’</w:t>
      </w:r>
      <w:r w:rsidRPr="00C11DD5">
        <w:rPr>
          <w:lang w:val="en-US"/>
        </w:rPr>
        <w:t xml:space="preserve"> </w:t>
      </w:r>
      <w:r w:rsidRPr="00C11DD5">
        <w:rPr>
          <w:i/>
          <w:lang w:val="en-US"/>
        </w:rPr>
        <w:t>SWS-Rundschau</w:t>
      </w:r>
      <w:r>
        <w:rPr>
          <w:lang w:val="en-US"/>
        </w:rPr>
        <w:t xml:space="preserve"> Vol. </w:t>
      </w:r>
      <w:r w:rsidRPr="00C11DD5">
        <w:rPr>
          <w:lang w:val="en-US"/>
        </w:rPr>
        <w:t>53</w:t>
      </w:r>
      <w:r>
        <w:rPr>
          <w:lang w:val="en-US"/>
        </w:rPr>
        <w:t xml:space="preserve">, No 2, pp. </w:t>
      </w:r>
      <w:r w:rsidRPr="00C11DD5">
        <w:rPr>
          <w:lang w:val="en-US"/>
        </w:rPr>
        <w:t>216-234</w:t>
      </w:r>
      <w:r>
        <w:rPr>
          <w:lang w:val="en-US"/>
        </w:rPr>
        <w:t xml:space="preserve"> [p. 221].</w:t>
      </w:r>
    </w:p>
  </w:footnote>
  <w:footnote w:id="46">
    <w:p w14:paraId="1DE48A70" w14:textId="77777777" w:rsidR="004F70B0" w:rsidRPr="00473191" w:rsidRDefault="004F70B0" w:rsidP="00D71050">
      <w:pPr>
        <w:pStyle w:val="FootnoteText"/>
        <w:contextualSpacing/>
      </w:pPr>
      <w:r>
        <w:rPr>
          <w:rStyle w:val="FootnoteReference"/>
        </w:rPr>
        <w:footnoteRef/>
      </w:r>
      <w:r>
        <w:t xml:space="preserve"> </w:t>
      </w:r>
      <w:r w:rsidRPr="00F011AD">
        <w:rPr>
          <w:lang w:val="en-US"/>
        </w:rPr>
        <w:t xml:space="preserve">Information provided by the </w:t>
      </w:r>
      <w:r>
        <w:rPr>
          <w:lang w:val="en-US"/>
        </w:rPr>
        <w:t>Federal Ministry of Interior</w:t>
      </w:r>
      <w:r w:rsidRPr="00F011AD">
        <w:rPr>
          <w:lang w:val="en-US"/>
        </w:rPr>
        <w:t xml:space="preserve"> </w:t>
      </w:r>
      <w:r w:rsidRPr="000872E9">
        <w:rPr>
          <w:i/>
          <w:lang w:val="en-US"/>
        </w:rPr>
        <w:t>(</w:t>
      </w:r>
      <w:r>
        <w:rPr>
          <w:i/>
          <w:lang w:val="en-US"/>
        </w:rPr>
        <w:t>Bundesministerium für Inneres</w:t>
      </w:r>
      <w:r w:rsidRPr="000872E9">
        <w:rPr>
          <w:i/>
          <w:lang w:val="en-US"/>
        </w:rPr>
        <w:t>)</w:t>
      </w:r>
      <w:r>
        <w:rPr>
          <w:lang w:val="en-US"/>
        </w:rPr>
        <w:t xml:space="preserve"> on 5</w:t>
      </w:r>
      <w:r w:rsidRPr="00F011AD">
        <w:rPr>
          <w:lang w:val="en-US"/>
        </w:rPr>
        <w:t xml:space="preserve"> </w:t>
      </w:r>
      <w:r>
        <w:rPr>
          <w:lang w:val="en-US"/>
        </w:rPr>
        <w:t>July</w:t>
      </w:r>
      <w:r w:rsidRPr="00F011AD">
        <w:rPr>
          <w:lang w:val="en-US"/>
        </w:rPr>
        <w:t xml:space="preserve"> 2013 in a response to an information request.</w:t>
      </w:r>
    </w:p>
  </w:footnote>
  <w:footnote w:id="47">
    <w:p w14:paraId="7F6EA462" w14:textId="77777777" w:rsidR="004F70B0" w:rsidRPr="00327649" w:rsidRDefault="004F70B0" w:rsidP="00D71050">
      <w:pPr>
        <w:pStyle w:val="FootnoteText"/>
        <w:contextualSpacing/>
      </w:pPr>
      <w:r>
        <w:rPr>
          <w:rStyle w:val="FootnoteReference"/>
        </w:rPr>
        <w:footnoteRef/>
      </w:r>
      <w:r>
        <w:t xml:space="preserve"> </w:t>
      </w:r>
      <w:r w:rsidRPr="00F011AD">
        <w:rPr>
          <w:lang w:val="en-US"/>
        </w:rPr>
        <w:t xml:space="preserve">Information provided by the </w:t>
      </w:r>
      <w:r>
        <w:rPr>
          <w:lang w:val="en-US"/>
        </w:rPr>
        <w:t>Austrian Parliament</w:t>
      </w:r>
      <w:r w:rsidRPr="00F011AD">
        <w:rPr>
          <w:lang w:val="en-US"/>
        </w:rPr>
        <w:t xml:space="preserve"> </w:t>
      </w:r>
      <w:r w:rsidRPr="000872E9">
        <w:rPr>
          <w:i/>
          <w:lang w:val="en-US"/>
        </w:rPr>
        <w:t>(</w:t>
      </w:r>
      <w:r>
        <w:rPr>
          <w:i/>
          <w:lang w:val="en-US"/>
        </w:rPr>
        <w:t>Österreichisches Parlament</w:t>
      </w:r>
      <w:r w:rsidRPr="000872E9">
        <w:rPr>
          <w:i/>
          <w:lang w:val="en-US"/>
        </w:rPr>
        <w:t>)</w:t>
      </w:r>
      <w:r>
        <w:rPr>
          <w:lang w:val="en-US"/>
        </w:rPr>
        <w:t xml:space="preserve"> on 3</w:t>
      </w:r>
      <w:r w:rsidRPr="00F011AD">
        <w:rPr>
          <w:lang w:val="en-US"/>
        </w:rPr>
        <w:t xml:space="preserve"> </w:t>
      </w:r>
      <w:r>
        <w:rPr>
          <w:lang w:val="en-US"/>
        </w:rPr>
        <w:t>July</w:t>
      </w:r>
      <w:r w:rsidRPr="00F011AD">
        <w:rPr>
          <w:lang w:val="en-US"/>
        </w:rPr>
        <w:t xml:space="preserve"> 2013 in a response to an information request.</w:t>
      </w:r>
    </w:p>
  </w:footnote>
  <w:footnote w:id="48">
    <w:p w14:paraId="366A32B7" w14:textId="77777777" w:rsidR="004F70B0" w:rsidRPr="009D0B4D" w:rsidRDefault="004F70B0" w:rsidP="00D71050">
      <w:pPr>
        <w:pStyle w:val="FootnoteText"/>
        <w:contextualSpacing/>
      </w:pPr>
      <w:r>
        <w:rPr>
          <w:rStyle w:val="FootnoteReference"/>
        </w:rPr>
        <w:footnoteRef/>
      </w:r>
      <w:r>
        <w:t xml:space="preserve"> </w:t>
      </w:r>
      <w:r w:rsidRPr="00C11DD5">
        <w:rPr>
          <w:lang w:val="en-US"/>
        </w:rPr>
        <w:t xml:space="preserve">Austria, Wegscheider, </w:t>
      </w:r>
      <w:r>
        <w:rPr>
          <w:lang w:val="en-US"/>
        </w:rPr>
        <w:t>A.</w:t>
      </w:r>
      <w:r w:rsidRPr="00C11DD5">
        <w:rPr>
          <w:lang w:val="en-US"/>
        </w:rPr>
        <w:t xml:space="preserve"> (2013), </w:t>
      </w:r>
      <w:r>
        <w:rPr>
          <w:lang w:val="en-US"/>
        </w:rPr>
        <w:t>‘</w:t>
      </w:r>
      <w:r w:rsidRPr="00C11DD5">
        <w:rPr>
          <w:lang w:val="en-US"/>
        </w:rPr>
        <w:t>Political Participation of Persons with Disabilities</w:t>
      </w:r>
      <w:r>
        <w:rPr>
          <w:lang w:val="en-US"/>
        </w:rPr>
        <w:t>’</w:t>
      </w:r>
      <w:r w:rsidRPr="00C11DD5">
        <w:rPr>
          <w:lang w:val="en-US"/>
        </w:rPr>
        <w:t xml:space="preserve"> </w:t>
      </w:r>
      <w:r w:rsidRPr="00C11DD5">
        <w:rPr>
          <w:i/>
          <w:lang w:val="en-US"/>
        </w:rPr>
        <w:t>SWS-Rundschau</w:t>
      </w:r>
      <w:r>
        <w:rPr>
          <w:lang w:val="en-US"/>
        </w:rPr>
        <w:t xml:space="preserve"> Vol. </w:t>
      </w:r>
      <w:r w:rsidRPr="00C11DD5">
        <w:rPr>
          <w:lang w:val="en-US"/>
        </w:rPr>
        <w:t>53</w:t>
      </w:r>
      <w:r>
        <w:rPr>
          <w:lang w:val="en-US"/>
        </w:rPr>
        <w:t xml:space="preserve">, No 2, pp. </w:t>
      </w:r>
      <w:r w:rsidRPr="00C11DD5">
        <w:rPr>
          <w:lang w:val="en-US"/>
        </w:rPr>
        <w:t>216-234</w:t>
      </w:r>
      <w:r>
        <w:rPr>
          <w:lang w:val="en-US"/>
        </w:rPr>
        <w:t>.</w:t>
      </w:r>
    </w:p>
  </w:footnote>
  <w:footnote w:id="49">
    <w:p w14:paraId="232857E5" w14:textId="77777777" w:rsidR="004F70B0" w:rsidRPr="00A632F4" w:rsidRDefault="004F70B0" w:rsidP="00D71050">
      <w:pPr>
        <w:pStyle w:val="FootnoteText"/>
        <w:contextualSpacing/>
      </w:pPr>
      <w:r>
        <w:rPr>
          <w:rStyle w:val="FootnoteReference"/>
        </w:rPr>
        <w:footnoteRef/>
      </w:r>
      <w:r>
        <w:t xml:space="preserve"> </w:t>
      </w:r>
      <w:r w:rsidRPr="00F011AD">
        <w:rPr>
          <w:lang w:val="en-US"/>
        </w:rPr>
        <w:t xml:space="preserve">Information provided by the </w:t>
      </w:r>
      <w:r>
        <w:rPr>
          <w:lang w:val="en-US"/>
        </w:rPr>
        <w:t>Austrian Association of Municipalities</w:t>
      </w:r>
      <w:r w:rsidRPr="00F011AD">
        <w:rPr>
          <w:lang w:val="en-US"/>
        </w:rPr>
        <w:t xml:space="preserve"> </w:t>
      </w:r>
      <w:r w:rsidRPr="000872E9">
        <w:rPr>
          <w:i/>
          <w:lang w:val="en-US"/>
        </w:rPr>
        <w:t>(</w:t>
      </w:r>
      <w:r>
        <w:rPr>
          <w:i/>
          <w:lang w:val="en-US"/>
        </w:rPr>
        <w:t>Österreichischer Gemeindebund</w:t>
      </w:r>
      <w:r w:rsidRPr="000872E9">
        <w:rPr>
          <w:i/>
          <w:lang w:val="en-US"/>
        </w:rPr>
        <w:t>)</w:t>
      </w:r>
      <w:r>
        <w:rPr>
          <w:lang w:val="en-US"/>
        </w:rPr>
        <w:t xml:space="preserve"> on 2</w:t>
      </w:r>
      <w:r w:rsidRPr="00F011AD">
        <w:rPr>
          <w:lang w:val="en-US"/>
        </w:rPr>
        <w:t xml:space="preserve"> </w:t>
      </w:r>
      <w:r>
        <w:rPr>
          <w:lang w:val="en-US"/>
        </w:rPr>
        <w:t>July</w:t>
      </w:r>
      <w:r w:rsidRPr="00F011AD">
        <w:rPr>
          <w:lang w:val="en-US"/>
        </w:rPr>
        <w:t xml:space="preserve"> 2013 in a response to an information request.</w:t>
      </w:r>
    </w:p>
  </w:footnote>
  <w:footnote w:id="50">
    <w:p w14:paraId="17AEBF92" w14:textId="77777777" w:rsidR="004F70B0" w:rsidRPr="00DC477B" w:rsidRDefault="004F70B0" w:rsidP="00EA04F8">
      <w:pPr>
        <w:pStyle w:val="FootnoteText"/>
        <w:contextualSpacing/>
        <w:rPr>
          <w:sz w:val="18"/>
          <w:szCs w:val="18"/>
        </w:rPr>
      </w:pPr>
      <w:r w:rsidRPr="00DC477B">
        <w:rPr>
          <w:rStyle w:val="FootnoteReference"/>
          <w:sz w:val="18"/>
          <w:szCs w:val="18"/>
        </w:rPr>
        <w:footnoteRef/>
      </w:r>
      <w:r w:rsidRPr="00DC477B">
        <w:rPr>
          <w:sz w:val="18"/>
          <w:szCs w:val="18"/>
        </w:rPr>
        <w:t xml:space="preserve"> </w:t>
      </w:r>
      <w:r w:rsidRPr="00840CC6">
        <w:rPr>
          <w:lang w:val="en-US"/>
        </w:rPr>
        <w:t xml:space="preserve">Information provided by the Provincial Government of Vorarlberg </w:t>
      </w:r>
      <w:r w:rsidRPr="00840CC6">
        <w:rPr>
          <w:i/>
          <w:lang w:val="en-US"/>
        </w:rPr>
        <w:t>(Amt der Voralberger Landesregierung)</w:t>
      </w:r>
      <w:r w:rsidRPr="00840CC6">
        <w:rPr>
          <w:lang w:val="en-US"/>
        </w:rPr>
        <w:t xml:space="preserve"> on 3 July 2013 in a response to an information request.</w:t>
      </w:r>
    </w:p>
  </w:footnote>
  <w:footnote w:id="51">
    <w:p w14:paraId="25F7F7D1" w14:textId="77777777" w:rsidR="004F70B0" w:rsidRPr="00840CC6" w:rsidRDefault="004F70B0" w:rsidP="00EA04F8">
      <w:pPr>
        <w:pStyle w:val="FootnoteText"/>
        <w:contextualSpacing/>
      </w:pPr>
      <w:r w:rsidRPr="00DC477B">
        <w:rPr>
          <w:rStyle w:val="FootnoteReference"/>
          <w:sz w:val="18"/>
          <w:szCs w:val="18"/>
        </w:rPr>
        <w:footnoteRef/>
      </w:r>
      <w:r w:rsidRPr="00DC477B">
        <w:rPr>
          <w:sz w:val="18"/>
          <w:szCs w:val="18"/>
        </w:rPr>
        <w:t xml:space="preserve"> </w:t>
      </w:r>
      <w:r w:rsidRPr="00840CC6">
        <w:rPr>
          <w:lang w:val="en-US"/>
        </w:rPr>
        <w:t xml:space="preserve">Information provided by the Provincial Government of Styria </w:t>
      </w:r>
      <w:r w:rsidRPr="00840CC6">
        <w:rPr>
          <w:i/>
          <w:lang w:val="en-US"/>
        </w:rPr>
        <w:t>(Amt der Steiermärkischen Landesregierung)</w:t>
      </w:r>
      <w:r w:rsidRPr="00840CC6">
        <w:rPr>
          <w:lang w:val="en-US"/>
        </w:rPr>
        <w:t xml:space="preserve"> on 4 July 2013 in a response to an information request.</w:t>
      </w:r>
    </w:p>
  </w:footnote>
  <w:footnote w:id="52">
    <w:p w14:paraId="34EAD41C" w14:textId="77777777" w:rsidR="004F70B0" w:rsidRPr="00840CC6" w:rsidRDefault="004F70B0" w:rsidP="00EA04F8">
      <w:pPr>
        <w:pStyle w:val="FootnoteText"/>
      </w:pPr>
      <w:r w:rsidRPr="00840CC6">
        <w:rPr>
          <w:rStyle w:val="FootnoteReference"/>
        </w:rPr>
        <w:footnoteRef/>
      </w:r>
      <w:r w:rsidRPr="00840CC6">
        <w:t xml:space="preserve"> </w:t>
      </w:r>
      <w:r w:rsidRPr="00840CC6">
        <w:rPr>
          <w:lang w:val="en-US"/>
        </w:rPr>
        <w:t xml:space="preserve">Information provided by the Provincial Government of Tyrol </w:t>
      </w:r>
      <w:r w:rsidRPr="00840CC6">
        <w:rPr>
          <w:i/>
          <w:lang w:val="en-US"/>
        </w:rPr>
        <w:t>(Amt der Tiroler Landesregierung)</w:t>
      </w:r>
      <w:r w:rsidRPr="00840CC6">
        <w:rPr>
          <w:lang w:val="en-US"/>
        </w:rPr>
        <w:t xml:space="preserve"> on 10 July 2013 in a response to an information request.</w:t>
      </w:r>
    </w:p>
  </w:footnote>
  <w:footnote w:id="53">
    <w:p w14:paraId="2FD7FF14" w14:textId="77777777" w:rsidR="004F70B0" w:rsidRPr="00840CC6" w:rsidRDefault="004F70B0" w:rsidP="00EA04F8">
      <w:pPr>
        <w:pStyle w:val="FootnoteText"/>
      </w:pPr>
      <w:r w:rsidRPr="00840CC6">
        <w:rPr>
          <w:rStyle w:val="FootnoteReference"/>
        </w:rPr>
        <w:footnoteRef/>
      </w:r>
      <w:r w:rsidRPr="00840CC6">
        <w:t xml:space="preserve"> </w:t>
      </w:r>
      <w:r w:rsidRPr="00840CC6">
        <w:rPr>
          <w:lang w:val="en-US"/>
        </w:rPr>
        <w:t xml:space="preserve">Information provided by the Provincial Government of Salzburg </w:t>
      </w:r>
      <w:r w:rsidRPr="00840CC6">
        <w:rPr>
          <w:i/>
          <w:lang w:val="en-US"/>
        </w:rPr>
        <w:t>(Amt der Salzburger Landesregierung)</w:t>
      </w:r>
      <w:r w:rsidRPr="00840CC6">
        <w:rPr>
          <w:lang w:val="en-US"/>
        </w:rPr>
        <w:t xml:space="preserve"> on 10 July 2013 in a response to an information request.</w:t>
      </w:r>
    </w:p>
  </w:footnote>
  <w:footnote w:id="54">
    <w:p w14:paraId="0C6171FE" w14:textId="2DE29246" w:rsidR="004F70B0" w:rsidRPr="00840CC6" w:rsidRDefault="004F70B0" w:rsidP="00EA04F8">
      <w:pPr>
        <w:pStyle w:val="FootnoteText"/>
      </w:pPr>
      <w:r w:rsidRPr="00840CC6">
        <w:rPr>
          <w:rStyle w:val="FootnoteReference"/>
        </w:rPr>
        <w:footnoteRef/>
      </w:r>
      <w:r w:rsidRPr="00840CC6">
        <w:t xml:space="preserve"> Austria, Salzburg, Municipalities (</w:t>
      </w:r>
      <w:r w:rsidRPr="00840CC6">
        <w:rPr>
          <w:i/>
        </w:rPr>
        <w:t xml:space="preserve">Gemeinden), </w:t>
      </w:r>
      <w:r w:rsidRPr="00840CC6">
        <w:t xml:space="preserve">available at: </w:t>
      </w:r>
      <w:hyperlink r:id="rId23" w:history="1">
        <w:r w:rsidRPr="00840CC6">
          <w:rPr>
            <w:rStyle w:val="Hyperlink"/>
          </w:rPr>
          <w:t>www.salzburg.gv.at/buerger-service/ls-az/ls-fg/ls-gemeinden.htm</w:t>
        </w:r>
      </w:hyperlink>
      <w:r w:rsidRPr="00840CC6">
        <w:t>.</w:t>
      </w:r>
    </w:p>
  </w:footnote>
  <w:footnote w:id="55">
    <w:p w14:paraId="115EDAF1" w14:textId="77777777" w:rsidR="004F70B0" w:rsidRPr="00DC477B" w:rsidRDefault="004F70B0" w:rsidP="00EA04F8">
      <w:pPr>
        <w:pStyle w:val="FootnoteText"/>
        <w:rPr>
          <w:sz w:val="18"/>
          <w:szCs w:val="18"/>
        </w:rPr>
      </w:pPr>
      <w:r w:rsidRPr="00840CC6">
        <w:rPr>
          <w:rStyle w:val="FootnoteReference"/>
        </w:rPr>
        <w:footnoteRef/>
      </w:r>
      <w:r w:rsidRPr="00840CC6">
        <w:t xml:space="preserve"> </w:t>
      </w:r>
      <w:r w:rsidRPr="00840CC6">
        <w:rPr>
          <w:lang w:val="en-US"/>
        </w:rPr>
        <w:t xml:space="preserve">Information provided by the City of Vienna </w:t>
      </w:r>
      <w:r w:rsidRPr="00840CC6">
        <w:rPr>
          <w:i/>
          <w:lang w:val="en-US"/>
        </w:rPr>
        <w:t>(Magistrat der Stadt Wien)</w:t>
      </w:r>
      <w:r w:rsidRPr="00840CC6">
        <w:rPr>
          <w:lang w:val="en-US"/>
        </w:rPr>
        <w:t xml:space="preserve"> on 10 July 2013 in a response to an information request.</w:t>
      </w:r>
    </w:p>
  </w:footnote>
  <w:footnote w:id="56">
    <w:p w14:paraId="7F0215D4" w14:textId="77777777" w:rsidR="004F70B0" w:rsidRPr="00E1465E" w:rsidRDefault="004F70B0" w:rsidP="00EA04F8">
      <w:pPr>
        <w:pStyle w:val="FootnoteText"/>
        <w:contextualSpacing/>
        <w:rPr>
          <w:sz w:val="18"/>
          <w:szCs w:val="18"/>
        </w:rPr>
      </w:pPr>
      <w:r w:rsidRPr="00DC477B">
        <w:rPr>
          <w:rStyle w:val="FootnoteReference"/>
          <w:sz w:val="18"/>
          <w:szCs w:val="18"/>
        </w:rPr>
        <w:footnoteRef/>
      </w:r>
      <w:r w:rsidRPr="00E1465E">
        <w:rPr>
          <w:sz w:val="18"/>
          <w:szCs w:val="18"/>
        </w:rPr>
        <w:t xml:space="preserve"> Austria, Wegscheider, A. (2013), ‘Political Participation of Persons with Disabilities’ (</w:t>
      </w:r>
      <w:r w:rsidRPr="00E1465E">
        <w:rPr>
          <w:i/>
          <w:sz w:val="18"/>
          <w:szCs w:val="18"/>
        </w:rPr>
        <w:t>Politische Partizipation von Menschen mit Behinderungen)</w:t>
      </w:r>
      <w:r w:rsidRPr="00E1465E">
        <w:rPr>
          <w:sz w:val="18"/>
          <w:szCs w:val="18"/>
        </w:rPr>
        <w:t xml:space="preserve"> </w:t>
      </w:r>
      <w:r w:rsidRPr="00E1465E">
        <w:rPr>
          <w:i/>
          <w:sz w:val="18"/>
          <w:szCs w:val="18"/>
        </w:rPr>
        <w:t>SWS-Rundschau</w:t>
      </w:r>
      <w:r w:rsidRPr="00E1465E">
        <w:rPr>
          <w:sz w:val="18"/>
          <w:szCs w:val="18"/>
        </w:rPr>
        <w:t xml:space="preserve"> Vol. 53, No 2, pp. 216-234 [p. 223].</w:t>
      </w:r>
    </w:p>
  </w:footnote>
  <w:footnote w:id="57">
    <w:p w14:paraId="66B89719" w14:textId="57831BA7" w:rsidR="004F70B0" w:rsidRPr="002C38DD" w:rsidRDefault="004F70B0" w:rsidP="00EA04F8">
      <w:pPr>
        <w:pStyle w:val="FootnoteText"/>
        <w:contextualSpacing/>
        <w:rPr>
          <w:lang w:val="en-US"/>
        </w:rPr>
      </w:pPr>
      <w:r>
        <w:rPr>
          <w:rStyle w:val="FootnoteReference"/>
        </w:rPr>
        <w:footnoteRef/>
      </w:r>
      <w:r w:rsidRPr="00A07C0D">
        <w:rPr>
          <w:lang w:val="de-AT"/>
        </w:rPr>
        <w:t xml:space="preserve"> Digitales</w:t>
      </w:r>
      <w:r>
        <w:rPr>
          <w:lang w:val="de-AT"/>
        </w:rPr>
        <w:t xml:space="preserve"> </w:t>
      </w:r>
      <w:r w:rsidRPr="00A07C0D">
        <w:rPr>
          <w:lang w:val="de-AT"/>
        </w:rPr>
        <w:t xml:space="preserve">Österreich (2007-2013): Verwaltung. Web-Accessability. </w:t>
      </w:r>
      <w:r>
        <w:rPr>
          <w:lang w:val="en-US"/>
        </w:rPr>
        <w:t xml:space="preserve">Aktivitäten, </w:t>
      </w:r>
      <w:r w:rsidRPr="002C38DD">
        <w:rPr>
          <w:lang w:val="en-US"/>
        </w:rPr>
        <w:t xml:space="preserve">available at: </w:t>
      </w:r>
      <w:hyperlink r:id="rId24" w:history="1">
        <w:r w:rsidRPr="00840CC6">
          <w:rPr>
            <w:rStyle w:val="Hyperlink"/>
            <w:lang w:val="de-AT"/>
          </w:rPr>
          <w:t>www.digitales.oesterreich.gv.at/site/5884/default.aspx</w:t>
        </w:r>
      </w:hyperlink>
      <w:r w:rsidRPr="00583F30">
        <w:rPr>
          <w:lang w:val="de-AT"/>
        </w:rPr>
        <w:t>.</w:t>
      </w:r>
    </w:p>
  </w:footnote>
  <w:footnote w:id="58">
    <w:p w14:paraId="52898CA3" w14:textId="77777777" w:rsidR="004F70B0" w:rsidRPr="00B46105" w:rsidRDefault="004F70B0" w:rsidP="00EA04F8">
      <w:pPr>
        <w:pStyle w:val="FootnoteText"/>
      </w:pPr>
      <w:r>
        <w:rPr>
          <w:rStyle w:val="FootnoteReference"/>
        </w:rPr>
        <w:footnoteRef/>
      </w:r>
      <w:r w:rsidRPr="00B46105">
        <w:rPr>
          <w:lang w:val="en-US"/>
        </w:rPr>
        <w:t xml:space="preserve"> Austria, Help.gv.at, available at: </w:t>
      </w:r>
      <w:r w:rsidRPr="00B46105">
        <w:t>www.help.gv.at/Portal.Node/hlpd/public/content/impressum/Seite.739000.html</w:t>
      </w:r>
      <w:r>
        <w:t>.</w:t>
      </w:r>
    </w:p>
  </w:footnote>
  <w:footnote w:id="59">
    <w:p w14:paraId="01E52FB9" w14:textId="77777777" w:rsidR="004F70B0" w:rsidRPr="00E1465E" w:rsidRDefault="004F70B0" w:rsidP="00EA04F8">
      <w:pPr>
        <w:pStyle w:val="FootnoteText"/>
        <w:contextualSpacing/>
      </w:pPr>
      <w:r>
        <w:rPr>
          <w:rStyle w:val="FootnoteReference"/>
        </w:rPr>
        <w:footnoteRef/>
      </w:r>
      <w:r w:rsidRPr="00E1465E">
        <w:t xml:space="preserve"> Austria, Wegscheider, A. (2013), ‘Political Participation of Persons with Disabilities’ (</w:t>
      </w:r>
      <w:r w:rsidRPr="00E1465E">
        <w:rPr>
          <w:i/>
        </w:rPr>
        <w:t>Politische Partizipation von Menschen mit Behinderungen)</w:t>
      </w:r>
      <w:r w:rsidRPr="00E1465E">
        <w:t xml:space="preserve"> </w:t>
      </w:r>
      <w:r w:rsidRPr="00E1465E">
        <w:rPr>
          <w:i/>
        </w:rPr>
        <w:t>SWS-Rundschau</w:t>
      </w:r>
      <w:r w:rsidRPr="00E1465E">
        <w:t xml:space="preserve"> Vol. 53, No 2, pp. 216-234 [p. 223].</w:t>
      </w:r>
    </w:p>
  </w:footnote>
  <w:footnote w:id="60">
    <w:p w14:paraId="50646BE7" w14:textId="77777777" w:rsidR="004F70B0" w:rsidRPr="00E242F0" w:rsidRDefault="004F70B0" w:rsidP="00EA04F8">
      <w:pPr>
        <w:pStyle w:val="FootnoteText"/>
        <w:contextualSpacing/>
      </w:pPr>
      <w:r>
        <w:rPr>
          <w:rStyle w:val="FootnoteReference"/>
        </w:rPr>
        <w:footnoteRef/>
      </w:r>
      <w:r>
        <w:t xml:space="preserve"> </w:t>
      </w:r>
      <w:r w:rsidRPr="00F011AD">
        <w:rPr>
          <w:lang w:val="en-US"/>
        </w:rPr>
        <w:t xml:space="preserve">Information provided by the </w:t>
      </w:r>
      <w:r>
        <w:rPr>
          <w:lang w:val="en-US"/>
        </w:rPr>
        <w:t>Provincial Government of Vorarlberg</w:t>
      </w:r>
      <w:r w:rsidRPr="00F011AD">
        <w:rPr>
          <w:lang w:val="en-US"/>
        </w:rPr>
        <w:t xml:space="preserve"> </w:t>
      </w:r>
      <w:r w:rsidRPr="000872E9">
        <w:rPr>
          <w:i/>
          <w:lang w:val="en-US"/>
        </w:rPr>
        <w:t>(</w:t>
      </w:r>
      <w:r>
        <w:rPr>
          <w:i/>
          <w:lang w:val="en-US"/>
        </w:rPr>
        <w:t>Amt der Voralberger Landesregierung</w:t>
      </w:r>
      <w:r w:rsidRPr="000872E9">
        <w:rPr>
          <w:i/>
          <w:lang w:val="en-US"/>
        </w:rPr>
        <w:t>)</w:t>
      </w:r>
      <w:r>
        <w:rPr>
          <w:lang w:val="en-US"/>
        </w:rPr>
        <w:t xml:space="preserve"> on 3</w:t>
      </w:r>
      <w:r w:rsidRPr="00F011AD">
        <w:rPr>
          <w:lang w:val="en-US"/>
        </w:rPr>
        <w:t xml:space="preserve"> </w:t>
      </w:r>
      <w:r>
        <w:rPr>
          <w:lang w:val="en-US"/>
        </w:rPr>
        <w:t>July</w:t>
      </w:r>
      <w:r w:rsidRPr="00F011AD">
        <w:rPr>
          <w:lang w:val="en-US"/>
        </w:rPr>
        <w:t xml:space="preserve"> 2013 in a response to an information request.</w:t>
      </w:r>
    </w:p>
  </w:footnote>
  <w:footnote w:id="61">
    <w:p w14:paraId="378C5064" w14:textId="77777777" w:rsidR="004F70B0" w:rsidRPr="008E7609" w:rsidRDefault="004F70B0" w:rsidP="00EA04F8">
      <w:pPr>
        <w:pStyle w:val="FootnoteText"/>
        <w:contextualSpacing/>
        <w:rPr>
          <w:lang w:val="en-US"/>
        </w:rPr>
      </w:pPr>
      <w:r>
        <w:rPr>
          <w:rStyle w:val="FootnoteReference"/>
        </w:rPr>
        <w:footnoteRef/>
      </w:r>
      <w:r>
        <w:t xml:space="preserve"> </w:t>
      </w:r>
      <w:r w:rsidRPr="00F011AD">
        <w:rPr>
          <w:lang w:val="en-US"/>
        </w:rPr>
        <w:t xml:space="preserve">Information provided by the </w:t>
      </w:r>
      <w:r>
        <w:rPr>
          <w:lang w:val="en-US"/>
        </w:rPr>
        <w:t xml:space="preserve">Provincial Government of Styria </w:t>
      </w:r>
      <w:r w:rsidRPr="000872E9">
        <w:rPr>
          <w:i/>
          <w:lang w:val="en-US"/>
        </w:rPr>
        <w:t>(</w:t>
      </w:r>
      <w:r>
        <w:rPr>
          <w:i/>
          <w:lang w:val="en-US"/>
        </w:rPr>
        <w:t>Amt der Steiermärkischen Landesregierung</w:t>
      </w:r>
      <w:r w:rsidRPr="000872E9">
        <w:rPr>
          <w:i/>
          <w:lang w:val="en-US"/>
        </w:rPr>
        <w:t>)</w:t>
      </w:r>
      <w:r>
        <w:rPr>
          <w:lang w:val="en-US"/>
        </w:rPr>
        <w:t xml:space="preserve"> on 4</w:t>
      </w:r>
      <w:r w:rsidRPr="00F011AD">
        <w:rPr>
          <w:lang w:val="en-US"/>
        </w:rPr>
        <w:t xml:space="preserve"> </w:t>
      </w:r>
      <w:r>
        <w:rPr>
          <w:lang w:val="en-US"/>
        </w:rPr>
        <w:t>July</w:t>
      </w:r>
      <w:r w:rsidRPr="00F011AD">
        <w:rPr>
          <w:lang w:val="en-US"/>
        </w:rPr>
        <w:t xml:space="preserve"> 2013 in a response to an information request</w:t>
      </w:r>
      <w:r w:rsidRPr="00675B69">
        <w:rPr>
          <w:lang w:val="en-US"/>
        </w:rPr>
        <w:t>. Information requests to Upper Austria, Lower Austria, Carinthia and Burgenland remained unanswered.</w:t>
      </w:r>
    </w:p>
  </w:footnote>
  <w:footnote w:id="62">
    <w:p w14:paraId="1CF4E426" w14:textId="79B6F733" w:rsidR="004F70B0" w:rsidRPr="00AA6BAE" w:rsidRDefault="004F70B0" w:rsidP="00EA04F8">
      <w:pPr>
        <w:pStyle w:val="FootnoteText"/>
        <w:contextualSpacing/>
      </w:pPr>
      <w:r>
        <w:rPr>
          <w:rStyle w:val="FootnoteReference"/>
        </w:rPr>
        <w:footnoteRef/>
      </w:r>
      <w:r w:rsidRPr="00AA6BAE">
        <w:t xml:space="preserve"> Austria, </w:t>
      </w:r>
      <w:r w:rsidRPr="00AA6BAE">
        <w:rPr>
          <w:rFonts w:eastAsia="Calibri" w:cs="Times New Roman"/>
        </w:rPr>
        <w:t xml:space="preserve">BMASK (2012), National Action Plan on Disability 2012-2020. Strategy of the Austrian Federal Government for </w:t>
      </w:r>
      <w:r>
        <w:rPr>
          <w:rFonts w:eastAsia="Calibri" w:cs="Times New Roman"/>
        </w:rPr>
        <w:t>the Implementation of the UN Di</w:t>
      </w:r>
      <w:r w:rsidRPr="00AA6BAE">
        <w:rPr>
          <w:rFonts w:eastAsia="Calibri" w:cs="Times New Roman"/>
        </w:rPr>
        <w:t>sability Rights Convention [</w:t>
      </w:r>
      <w:r w:rsidRPr="00AA6BAE">
        <w:rPr>
          <w:rFonts w:eastAsia="Calibri" w:cs="Times New Roman"/>
          <w:i/>
        </w:rPr>
        <w:t>Nationaler Aktionsplan Behinderung 2012-2020.Strategie der Österreichischen Bundesregierung zur Umsetzung der UN-Behindertenrechtskonvention</w:t>
      </w:r>
      <w:r>
        <w:rPr>
          <w:rFonts w:eastAsia="Calibri" w:cs="Times New Roman"/>
        </w:rPr>
        <w:t>], [Vienna, BMASK, [85</w:t>
      </w:r>
      <w:r w:rsidRPr="00AA6BAE">
        <w:rPr>
          <w:rFonts w:eastAsia="Calibri" w:cs="Times New Roman"/>
        </w:rPr>
        <w:t xml:space="preserve">], available at: </w:t>
      </w:r>
      <w:hyperlink r:id="rId25" w:history="1">
        <w:r w:rsidRPr="00840CC6">
          <w:rPr>
            <w:rStyle w:val="Hyperlink"/>
            <w:rFonts w:eastAsia="Calibri" w:cs="Times New Roman"/>
          </w:rPr>
          <w:t>www.bmask.gv.at/cms/site/attachments/7/4/9/CH2092/CMS1359980335644/nap_behinderung-web_2013-01-30_eng.pdf</w:t>
        </w:r>
      </w:hyperlink>
      <w:r>
        <w:t>.</w:t>
      </w:r>
    </w:p>
  </w:footnote>
  <w:footnote w:id="63">
    <w:p w14:paraId="7F6EA474" w14:textId="77777777" w:rsidR="004F70B0" w:rsidRPr="00E8590E" w:rsidRDefault="004F70B0" w:rsidP="00D71050">
      <w:pPr>
        <w:pStyle w:val="FootnoteText"/>
        <w:contextualSpacing/>
      </w:pPr>
      <w:r>
        <w:rPr>
          <w:rStyle w:val="FootnoteReference"/>
        </w:rPr>
        <w:footnoteRef/>
      </w:r>
      <w:r>
        <w:t xml:space="preserve"> </w:t>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64">
    <w:p w14:paraId="0BD2ADD5" w14:textId="77777777" w:rsidR="004F70B0" w:rsidRPr="00804F22" w:rsidRDefault="004F70B0" w:rsidP="002C0B6D">
      <w:pPr>
        <w:pStyle w:val="FootnoteText"/>
        <w:contextualSpacing/>
        <w:rPr>
          <w:lang w:val="en-US"/>
        </w:rPr>
      </w:pPr>
      <w:r>
        <w:rPr>
          <w:rStyle w:val="FootnoteReference"/>
        </w:rPr>
        <w:footnoteRef/>
      </w:r>
      <w:r w:rsidRPr="00804F22">
        <w:rPr>
          <w:lang w:val="en-US"/>
        </w:rPr>
        <w:t xml:space="preserve"> 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r w:rsidRPr="00675B69">
        <w:rPr>
          <w:lang w:val="en-US"/>
        </w:rPr>
        <w:t>. Information request on this topic remained unanswered by the private broadcaster Puls 4.</w:t>
      </w:r>
    </w:p>
  </w:footnote>
  <w:footnote w:id="65">
    <w:p w14:paraId="7F6EA476" w14:textId="77777777" w:rsidR="004F70B0" w:rsidRPr="00B5006C" w:rsidRDefault="004F70B0" w:rsidP="00D71050">
      <w:pPr>
        <w:pStyle w:val="FootnoteText"/>
        <w:contextualSpacing/>
      </w:pPr>
      <w:r>
        <w:rPr>
          <w:rStyle w:val="FootnoteReference"/>
        </w:rPr>
        <w:footnoteRef/>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66">
    <w:p w14:paraId="7F6EA477" w14:textId="77777777" w:rsidR="004F70B0" w:rsidRPr="000B17F9" w:rsidRDefault="004F70B0" w:rsidP="00D71050">
      <w:pPr>
        <w:pStyle w:val="FootnoteText"/>
        <w:contextualSpacing/>
        <w:rPr>
          <w:lang w:val="en-US"/>
        </w:rPr>
      </w:pPr>
      <w:r>
        <w:rPr>
          <w:rStyle w:val="FootnoteReference"/>
        </w:rPr>
        <w:footnoteRef/>
      </w:r>
      <w:r w:rsidRPr="000B17F9">
        <w:rPr>
          <w:lang w:val="en-US"/>
        </w:rPr>
        <w:t xml:space="preserve"> </w:t>
      </w:r>
      <w:r w:rsidRPr="00804F22">
        <w:rPr>
          <w:lang w:val="en-US"/>
        </w:rPr>
        <w:t xml:space="preserve">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p>
  </w:footnote>
  <w:footnote w:id="67">
    <w:p w14:paraId="7F6EA478" w14:textId="77777777" w:rsidR="004F70B0" w:rsidRPr="00F75CE2" w:rsidRDefault="004F70B0" w:rsidP="00D71050">
      <w:pPr>
        <w:pStyle w:val="FootnoteText"/>
        <w:contextualSpacing/>
      </w:pPr>
      <w:r>
        <w:rPr>
          <w:rStyle w:val="FootnoteReference"/>
        </w:rPr>
        <w:footnoteRef/>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68">
    <w:p w14:paraId="4D6A6ED0" w14:textId="77777777" w:rsidR="004F70B0" w:rsidRPr="000B17F9" w:rsidRDefault="004F70B0" w:rsidP="007E1AEE">
      <w:pPr>
        <w:pStyle w:val="FootnoteText"/>
        <w:contextualSpacing/>
        <w:rPr>
          <w:lang w:val="en-US"/>
        </w:rPr>
      </w:pPr>
      <w:r>
        <w:rPr>
          <w:rStyle w:val="FootnoteReference"/>
        </w:rPr>
        <w:footnoteRef/>
      </w:r>
      <w:r w:rsidRPr="000B17F9">
        <w:rPr>
          <w:lang w:val="en-US"/>
        </w:rPr>
        <w:t xml:space="preserve"> </w:t>
      </w:r>
      <w:r w:rsidRPr="00804F22">
        <w:rPr>
          <w:lang w:val="en-US"/>
        </w:rPr>
        <w:t xml:space="preserve">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p>
  </w:footnote>
  <w:footnote w:id="69">
    <w:p w14:paraId="7F6EA47A" w14:textId="442F3C96" w:rsidR="004F70B0" w:rsidRPr="00BC2AF6" w:rsidRDefault="004F70B0" w:rsidP="00675B69">
      <w:pPr>
        <w:pStyle w:val="FootnoteText"/>
        <w:contextualSpacing/>
        <w:rPr>
          <w:lang w:val="en-US"/>
        </w:rPr>
      </w:pPr>
      <w:r>
        <w:rPr>
          <w:rStyle w:val="FootnoteReference"/>
        </w:rPr>
        <w:footnoteRef/>
      </w:r>
      <w:r w:rsidRPr="00BC2AF6">
        <w:rPr>
          <w:lang w:val="en-US"/>
        </w:rPr>
        <w:t xml:space="preserve"> </w:t>
      </w:r>
      <w:r w:rsidRPr="00F011AD">
        <w:rPr>
          <w:lang w:val="en-US"/>
        </w:rPr>
        <w:t xml:space="preserve">Information provided by the </w:t>
      </w:r>
      <w:r>
        <w:rPr>
          <w:lang w:val="en-US"/>
        </w:rPr>
        <w:t>Austrian Green Party</w:t>
      </w:r>
      <w:r w:rsidRPr="00F011AD">
        <w:rPr>
          <w:lang w:val="en-US"/>
        </w:rPr>
        <w:t xml:space="preserve"> </w:t>
      </w:r>
      <w:r w:rsidRPr="000872E9">
        <w:rPr>
          <w:i/>
          <w:lang w:val="en-US"/>
        </w:rPr>
        <w:t>(</w:t>
      </w:r>
      <w:r>
        <w:rPr>
          <w:i/>
          <w:lang w:val="en-US"/>
        </w:rPr>
        <w:t>Österreichische Grüne Partei</w:t>
      </w:r>
      <w:r w:rsidRPr="000872E9">
        <w:rPr>
          <w:i/>
          <w:lang w:val="en-US"/>
        </w:rPr>
        <w:t>)</w:t>
      </w:r>
      <w:r>
        <w:rPr>
          <w:lang w:val="en-US"/>
        </w:rPr>
        <w:t xml:space="preserve"> on 28</w:t>
      </w:r>
      <w:r w:rsidRPr="00F011AD">
        <w:rPr>
          <w:lang w:val="en-US"/>
        </w:rPr>
        <w:t xml:space="preserve"> </w:t>
      </w:r>
      <w:r>
        <w:rPr>
          <w:lang w:val="en-US"/>
        </w:rPr>
        <w:t>June</w:t>
      </w:r>
      <w:r w:rsidRPr="00F011AD">
        <w:rPr>
          <w:lang w:val="en-US"/>
        </w:rPr>
        <w:t xml:space="preserve"> 2013 in a response to an information request.</w:t>
      </w:r>
      <w:r>
        <w:rPr>
          <w:lang w:val="en-US"/>
        </w:rPr>
        <w:br/>
      </w:r>
      <w:r w:rsidRPr="00675B69">
        <w:rPr>
          <w:lang w:val="en-US"/>
        </w:rPr>
        <w:t>Also the other parties (ÖVP, FPÖ, BZÖ) were asked in information request</w:t>
      </w:r>
      <w:r>
        <w:rPr>
          <w:lang w:val="en-US"/>
        </w:rPr>
        <w:t>s</w:t>
      </w:r>
      <w:r w:rsidRPr="00675B69">
        <w:rPr>
          <w:lang w:val="en-US"/>
        </w:rPr>
        <w:t>, but those requests remained unanswered.</w:t>
      </w:r>
    </w:p>
  </w:footnote>
  <w:footnote w:id="70">
    <w:p w14:paraId="7F6EA47B" w14:textId="77777777" w:rsidR="004F70B0" w:rsidRPr="00290D7E" w:rsidRDefault="004F70B0">
      <w:pPr>
        <w:pStyle w:val="FootnoteText"/>
        <w:rPr>
          <w:lang w:val="en-US"/>
        </w:rPr>
      </w:pPr>
      <w:r>
        <w:rPr>
          <w:rStyle w:val="FootnoteReference"/>
        </w:rPr>
        <w:footnoteRef/>
      </w:r>
      <w:r w:rsidRPr="00290D7E">
        <w:rPr>
          <w:lang w:val="en-US"/>
        </w:rPr>
        <w:t xml:space="preserve"> Information provided by the SPÖ on 19 July 2013 in response to an information request. </w:t>
      </w:r>
    </w:p>
  </w:footnote>
  <w:footnote w:id="71">
    <w:p w14:paraId="04290502" w14:textId="6BE572A6" w:rsidR="004F70B0" w:rsidRPr="00840CC6" w:rsidRDefault="004F70B0" w:rsidP="00EA04F8">
      <w:pPr>
        <w:pStyle w:val="FootnoteText"/>
        <w:contextualSpacing/>
        <w:rPr>
          <w:lang w:val="de-AT"/>
        </w:rPr>
      </w:pPr>
      <w:r w:rsidRPr="00840CC6">
        <w:rPr>
          <w:rStyle w:val="FootnoteReference"/>
        </w:rPr>
        <w:footnoteRef/>
      </w:r>
      <w:r w:rsidRPr="00840CC6">
        <w:rPr>
          <w:lang w:val="de-AT"/>
        </w:rPr>
        <w:t xml:space="preserve"> Austria, Federal Disability Equality Act  (</w:t>
      </w:r>
      <w:r w:rsidRPr="00840CC6">
        <w:rPr>
          <w:i/>
          <w:lang w:val="de-AT"/>
        </w:rPr>
        <w:t>Bundesgesetz über die Gleichstellung von Menschen mit Behinderung – Bundes - Behindertengleichstellungsgesetz – BGStG</w:t>
      </w:r>
      <w:r w:rsidRPr="00840CC6">
        <w:rPr>
          <w:lang w:val="de-AT"/>
        </w:rPr>
        <w:t xml:space="preserve">), BGBl. No. 82/2005, available at: </w:t>
      </w:r>
      <w:hyperlink r:id="rId26" w:history="1">
        <w:r w:rsidRPr="00840CC6">
          <w:rPr>
            <w:rStyle w:val="Hyperlink"/>
            <w:lang w:val="de-AT"/>
          </w:rPr>
          <w:t>www.ris.bka.gv.at/GeltendeFassung.wxe?Abfrage=Bundesnormen&amp;Gesetzesnummer=20004228</w:t>
        </w:r>
      </w:hyperlink>
      <w:r w:rsidRPr="00840CC6">
        <w:rPr>
          <w:lang w:val="de-AT"/>
        </w:rPr>
        <w:t>.</w:t>
      </w:r>
    </w:p>
  </w:footnote>
  <w:footnote w:id="72">
    <w:p w14:paraId="424F2090" w14:textId="138D3CA2" w:rsidR="004F70B0" w:rsidRPr="00DC477B" w:rsidRDefault="004F70B0" w:rsidP="003D2432">
      <w:pPr>
        <w:pStyle w:val="FootnoteText"/>
        <w:rPr>
          <w:sz w:val="18"/>
          <w:szCs w:val="18"/>
        </w:rPr>
      </w:pPr>
      <w:r w:rsidRPr="00840CC6">
        <w:rPr>
          <w:rStyle w:val="FootnoteReference"/>
        </w:rPr>
        <w:footnoteRef/>
      </w:r>
      <w:r w:rsidRPr="00840CC6">
        <w:t xml:space="preserve"> Austria, help.gv.at, available at: </w:t>
      </w:r>
      <w:hyperlink r:id="rId27" w:history="1">
        <w:r w:rsidRPr="00840CC6">
          <w:rPr>
            <w:rStyle w:val="Hyperlink"/>
          </w:rPr>
          <w:t>www.help.gv.at/Portal.Node/hlpd/public/content/127/Seite.1270100.html#B1610</w:t>
        </w:r>
      </w:hyperlink>
      <w:r w:rsidRPr="00840CC6">
        <w:t>.</w:t>
      </w:r>
    </w:p>
  </w:footnote>
  <w:footnote w:id="73">
    <w:p w14:paraId="34B1DB2B" w14:textId="54A5808C" w:rsidR="004F70B0" w:rsidRPr="00840CC6" w:rsidRDefault="004F70B0" w:rsidP="00EA04F8">
      <w:pPr>
        <w:pStyle w:val="FootnoteText"/>
        <w:rPr>
          <w:lang w:val="de-AT"/>
        </w:rPr>
      </w:pPr>
      <w:r w:rsidRPr="00DC477B">
        <w:rPr>
          <w:rStyle w:val="FootnoteReference"/>
          <w:sz w:val="18"/>
          <w:szCs w:val="18"/>
        </w:rPr>
        <w:footnoteRef/>
      </w:r>
      <w:r w:rsidRPr="00DC477B">
        <w:rPr>
          <w:sz w:val="18"/>
          <w:szCs w:val="18"/>
        </w:rPr>
        <w:t xml:space="preserve"> </w:t>
      </w:r>
      <w:r w:rsidRPr="00840CC6">
        <w:rPr>
          <w:lang w:val="en-US"/>
        </w:rPr>
        <w:t xml:space="preserve">Austria, </w:t>
      </w:r>
      <w:r w:rsidRPr="00840CC6">
        <w:rPr>
          <w:rFonts w:eastAsia="Calibri" w:cs="Times New Roman"/>
          <w:lang w:val="en-US"/>
        </w:rPr>
        <w:t>BMASK (2012), National Action Plan on Disability 2012-2020. Strategy of the Austrian Federal Government for the Implementation of the UN Disability Rights Convention (</w:t>
      </w:r>
      <w:r w:rsidRPr="00840CC6">
        <w:rPr>
          <w:rFonts w:eastAsia="Calibri" w:cs="Times New Roman"/>
          <w:i/>
          <w:lang w:val="en-US"/>
        </w:rPr>
        <w:t xml:space="preserve">Nationaler Aktionsplan Behinderung 2012-2020. </w:t>
      </w:r>
      <w:r w:rsidRPr="00840CC6">
        <w:rPr>
          <w:rFonts w:eastAsia="Calibri" w:cs="Times New Roman"/>
          <w:i/>
          <w:lang w:val="de-AT"/>
        </w:rPr>
        <w:t>Strategie der Österreichischen Bundesregierung zur Umsetzung der UN-Behindertenrechtskonvention</w:t>
      </w:r>
      <w:r w:rsidRPr="00840CC6">
        <w:rPr>
          <w:rFonts w:eastAsia="Calibri" w:cs="Times New Roman"/>
          <w:lang w:val="de-AT"/>
        </w:rPr>
        <w:t xml:space="preserve">), [Vienna, BMASK, [ 57 - 58], available at: </w:t>
      </w:r>
      <w:hyperlink r:id="rId28" w:history="1">
        <w:r w:rsidRPr="00840CC6">
          <w:rPr>
            <w:rStyle w:val="Hyperlink"/>
            <w:rFonts w:eastAsia="Calibri" w:cs="Times New Roman"/>
            <w:lang w:val="de-AT"/>
          </w:rPr>
          <w:t>www.bmask.gv.at/cms/site/attachments/7/4/9/CH2092/CMS1359980335644/nap_behinderung-web_2013-01-30_eng.pdf</w:t>
        </w:r>
      </w:hyperlink>
      <w:r w:rsidRPr="00840CC6">
        <w:rPr>
          <w:rFonts w:eastAsia="Calibri" w:cs="Times New Roman"/>
          <w:lang w:val="de-AT"/>
        </w:rPr>
        <w:t>, p. 59.</w:t>
      </w:r>
    </w:p>
  </w:footnote>
  <w:footnote w:id="74">
    <w:p w14:paraId="61463629" w14:textId="77777777" w:rsidR="004F70B0" w:rsidRPr="00840CC6" w:rsidRDefault="004F70B0" w:rsidP="00EA04F8">
      <w:pPr>
        <w:pStyle w:val="FootnoteText"/>
        <w:contextualSpacing/>
      </w:pPr>
      <w:r w:rsidRPr="00840CC6">
        <w:rPr>
          <w:rStyle w:val="FootnoteReference"/>
        </w:rPr>
        <w:footnoteRef/>
      </w:r>
      <w:r w:rsidRPr="00840CC6">
        <w:t xml:space="preserve"> </w:t>
      </w:r>
      <w:r w:rsidRPr="00840CC6">
        <w:rPr>
          <w:lang w:val="en-US"/>
        </w:rPr>
        <w:t xml:space="preserve">Information provided by the Austrian Association of Municipalities </w:t>
      </w:r>
      <w:r w:rsidRPr="00840CC6">
        <w:rPr>
          <w:i/>
          <w:lang w:val="en-US"/>
        </w:rPr>
        <w:t>(Österreichischer Gemeindebund)</w:t>
      </w:r>
      <w:r w:rsidRPr="00840CC6">
        <w:rPr>
          <w:lang w:val="en-US"/>
        </w:rPr>
        <w:t xml:space="preserve"> on 2 July 2013 in a response to an information request.</w:t>
      </w:r>
    </w:p>
  </w:footnote>
  <w:footnote w:id="75">
    <w:p w14:paraId="7F6EA480" w14:textId="77777777" w:rsidR="004F70B0" w:rsidRPr="00840CC6" w:rsidRDefault="004F70B0" w:rsidP="00D71050">
      <w:pPr>
        <w:pStyle w:val="FootnoteText"/>
        <w:contextualSpacing/>
      </w:pPr>
      <w:r w:rsidRPr="00840CC6">
        <w:rPr>
          <w:rStyle w:val="FootnoteReference"/>
        </w:rPr>
        <w:footnoteRef/>
      </w:r>
      <w:r w:rsidRPr="00840CC6">
        <w:t xml:space="preserve"> Please include data from disabled persons organisations regarding such complaints.</w:t>
      </w:r>
    </w:p>
  </w:footnote>
  <w:footnote w:id="76">
    <w:p w14:paraId="02F78561" w14:textId="77777777" w:rsidR="004F70B0" w:rsidRPr="00840CC6" w:rsidRDefault="004F70B0" w:rsidP="00EA04F8">
      <w:pPr>
        <w:pStyle w:val="FootnoteText"/>
        <w:contextualSpacing/>
        <w:rPr>
          <w:rFonts w:cstheme="minorHAnsi"/>
        </w:rPr>
      </w:pPr>
      <w:r w:rsidRPr="00840CC6">
        <w:rPr>
          <w:rStyle w:val="FootnoteReference"/>
          <w:rFonts w:cstheme="minorHAnsi"/>
        </w:rPr>
        <w:footnoteRef/>
      </w:r>
      <w:r w:rsidRPr="00840CC6">
        <w:rPr>
          <w:rFonts w:cstheme="minorHAnsi"/>
        </w:rPr>
        <w:t xml:space="preserve"> Austria, Wegscheider, A. (2013), ‘Political Participation of Persons with Disabilities’ (</w:t>
      </w:r>
      <w:r w:rsidRPr="00840CC6">
        <w:rPr>
          <w:rFonts w:cstheme="minorHAnsi"/>
          <w:i/>
        </w:rPr>
        <w:t>Politische Partizipation von Menschen mit Behinderungen)</w:t>
      </w:r>
      <w:r w:rsidRPr="00840CC6">
        <w:rPr>
          <w:rFonts w:cstheme="minorHAnsi"/>
        </w:rPr>
        <w:t xml:space="preserve"> </w:t>
      </w:r>
      <w:r w:rsidRPr="00840CC6">
        <w:rPr>
          <w:rFonts w:cstheme="minorHAnsi"/>
          <w:i/>
        </w:rPr>
        <w:t>SWS-Rundschau</w:t>
      </w:r>
      <w:r w:rsidRPr="00840CC6">
        <w:rPr>
          <w:rFonts w:cstheme="minorHAnsi"/>
        </w:rPr>
        <w:t xml:space="preserve"> Vol. 53, No 2, pp. 216-234.</w:t>
      </w:r>
    </w:p>
  </w:footnote>
  <w:footnote w:id="77">
    <w:p w14:paraId="6CC49F3F" w14:textId="77777777" w:rsidR="004F70B0" w:rsidRPr="00DC477B" w:rsidRDefault="004F70B0" w:rsidP="00EA04F8">
      <w:pPr>
        <w:pStyle w:val="FootnoteText"/>
        <w:rPr>
          <w:rFonts w:cstheme="minorHAnsi"/>
          <w:sz w:val="18"/>
          <w:szCs w:val="18"/>
          <w:lang w:val="en-US"/>
        </w:rPr>
      </w:pPr>
      <w:r w:rsidRPr="00840CC6">
        <w:rPr>
          <w:rStyle w:val="FootnoteReference"/>
          <w:rFonts w:cstheme="minorHAnsi"/>
        </w:rPr>
        <w:footnoteRef/>
      </w:r>
      <w:r w:rsidRPr="00840CC6">
        <w:rPr>
          <w:rFonts w:cstheme="minorHAnsi"/>
        </w:rPr>
        <w:t xml:space="preserve"> </w:t>
      </w:r>
      <w:r w:rsidRPr="00840CC6">
        <w:rPr>
          <w:rFonts w:cstheme="minorHAnsi"/>
          <w:lang w:val="en-US"/>
        </w:rPr>
        <w:t xml:space="preserve">Information provided by the Austrian Disability Ombudsman </w:t>
      </w:r>
      <w:r w:rsidRPr="00840CC6">
        <w:rPr>
          <w:rFonts w:cstheme="minorHAnsi"/>
          <w:i/>
          <w:lang w:val="en-US"/>
        </w:rPr>
        <w:t>(Österreichische Behindertenanwaltschaft)</w:t>
      </w:r>
      <w:r w:rsidRPr="00840CC6">
        <w:rPr>
          <w:rFonts w:cstheme="minorHAnsi"/>
          <w:lang w:val="en-US"/>
        </w:rPr>
        <w:t xml:space="preserve"> on 11 July 2013 in a response to an information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A443" w14:textId="486A4E13" w:rsidR="00D00A60" w:rsidRPr="009C18CC" w:rsidRDefault="00EA6830" w:rsidP="0081459C">
    <w:pPr>
      <w:pStyle w:val="Header"/>
      <w:jc w:val="right"/>
      <w:rPr>
        <w:rFonts w:ascii="Arial Narrow" w:hAnsi="Arial Narrow"/>
      </w:rPr>
    </w:pPr>
    <w:r>
      <w:rPr>
        <w:rFonts w:ascii="Arial Narrow" w:hAnsi="Arial Narrow"/>
        <w:sz w:val="20"/>
        <w:szCs w:val="20"/>
      </w:rPr>
      <w:t>Background c</w:t>
    </w:r>
    <w:r w:rsidR="00D00A60">
      <w:rPr>
        <w:rFonts w:ascii="Arial Narrow" w:hAnsi="Arial Narrow"/>
        <w:sz w:val="20"/>
        <w:szCs w:val="20"/>
      </w:rPr>
      <w:t>ountry information</w:t>
    </w:r>
    <w:r w:rsidR="00D00A60" w:rsidRPr="009C18CC">
      <w:rPr>
        <w:rFonts w:ascii="Arial Narrow" w:hAnsi="Arial Narrow"/>
        <w:sz w:val="20"/>
        <w:szCs w:val="20"/>
      </w:rPr>
      <w:t xml:space="preserve">: </w:t>
    </w:r>
    <w:r w:rsidR="00D00A60">
      <w:rPr>
        <w:rFonts w:ascii="Arial Narrow" w:hAnsi="Arial Narrow"/>
        <w:sz w:val="20"/>
        <w:szCs w:val="20"/>
      </w:rPr>
      <w:t>Political participation of persons with disabilities</w:t>
    </w:r>
  </w:p>
  <w:p w14:paraId="7F6EA444" w14:textId="77777777" w:rsidR="00D00A60" w:rsidRDefault="00D00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B9346FB"/>
    <w:multiLevelType w:val="hybridMultilevel"/>
    <w:tmpl w:val="0556F2CA"/>
    <w:lvl w:ilvl="0" w:tplc="A4B8A5D2">
      <w:start w:val="1110"/>
      <w:numFmt w:val="bullet"/>
      <w:lvlText w:val=""/>
      <w:lvlJc w:val="left"/>
      <w:pPr>
        <w:ind w:left="720" w:hanging="360"/>
      </w:pPr>
      <w:rPr>
        <w:rFonts w:ascii="Wingdings" w:eastAsiaTheme="minorHAns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9">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334200B"/>
    <w:multiLevelType w:val="hybridMultilevel"/>
    <w:tmpl w:val="1D744EDA"/>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4360A73"/>
    <w:multiLevelType w:val="hybridMultilevel"/>
    <w:tmpl w:val="0E6238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B6E08E0"/>
    <w:multiLevelType w:val="hybridMultilevel"/>
    <w:tmpl w:val="B6741250"/>
    <w:lvl w:ilvl="0" w:tplc="5442CE06">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9"/>
  </w:num>
  <w:num w:numId="5">
    <w:abstractNumId w:val="2"/>
  </w:num>
  <w:num w:numId="6">
    <w:abstractNumId w:val="14"/>
  </w:num>
  <w:num w:numId="7">
    <w:abstractNumId w:val="10"/>
  </w:num>
  <w:num w:numId="8">
    <w:abstractNumId w:val="0"/>
  </w:num>
  <w:num w:numId="9">
    <w:abstractNumId w:val="8"/>
  </w:num>
  <w:num w:numId="10">
    <w:abstractNumId w:val="1"/>
  </w:num>
  <w:num w:numId="11">
    <w:abstractNumId w:val="4"/>
  </w:num>
  <w:num w:numId="12">
    <w:abstractNumId w:val="3"/>
  </w:num>
  <w:num w:numId="13">
    <w:abstractNumId w:val="7"/>
  </w:num>
  <w:num w:numId="14">
    <w:abstractNumId w:val="1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0381"/>
    <w:rsid w:val="000009A0"/>
    <w:rsid w:val="0000356C"/>
    <w:rsid w:val="00011DA4"/>
    <w:rsid w:val="00013D13"/>
    <w:rsid w:val="0001640C"/>
    <w:rsid w:val="00016440"/>
    <w:rsid w:val="00016659"/>
    <w:rsid w:val="00020E8F"/>
    <w:rsid w:val="00022D3B"/>
    <w:rsid w:val="000256C8"/>
    <w:rsid w:val="00027BB2"/>
    <w:rsid w:val="00032CE0"/>
    <w:rsid w:val="00036D45"/>
    <w:rsid w:val="00043862"/>
    <w:rsid w:val="00047B01"/>
    <w:rsid w:val="00055A63"/>
    <w:rsid w:val="00060C11"/>
    <w:rsid w:val="00062858"/>
    <w:rsid w:val="00067303"/>
    <w:rsid w:val="00070235"/>
    <w:rsid w:val="00070613"/>
    <w:rsid w:val="000707E5"/>
    <w:rsid w:val="00071211"/>
    <w:rsid w:val="000716CA"/>
    <w:rsid w:val="00074027"/>
    <w:rsid w:val="00076E6C"/>
    <w:rsid w:val="0009421A"/>
    <w:rsid w:val="000958B0"/>
    <w:rsid w:val="00096A0D"/>
    <w:rsid w:val="00096C9C"/>
    <w:rsid w:val="000A5786"/>
    <w:rsid w:val="000A7F57"/>
    <w:rsid w:val="000B17F9"/>
    <w:rsid w:val="000B1B43"/>
    <w:rsid w:val="000B3B81"/>
    <w:rsid w:val="000B6F60"/>
    <w:rsid w:val="000C119F"/>
    <w:rsid w:val="000C31F9"/>
    <w:rsid w:val="000C5510"/>
    <w:rsid w:val="000D079F"/>
    <w:rsid w:val="000D23DC"/>
    <w:rsid w:val="000D4442"/>
    <w:rsid w:val="000E153B"/>
    <w:rsid w:val="000E4D25"/>
    <w:rsid w:val="000E7698"/>
    <w:rsid w:val="000F2214"/>
    <w:rsid w:val="000F6247"/>
    <w:rsid w:val="000F7A89"/>
    <w:rsid w:val="001058AF"/>
    <w:rsid w:val="001061E8"/>
    <w:rsid w:val="001114D2"/>
    <w:rsid w:val="0011203A"/>
    <w:rsid w:val="001149A6"/>
    <w:rsid w:val="0011774F"/>
    <w:rsid w:val="0011784B"/>
    <w:rsid w:val="00117C60"/>
    <w:rsid w:val="00120BDF"/>
    <w:rsid w:val="001211CE"/>
    <w:rsid w:val="0012135B"/>
    <w:rsid w:val="00124FE7"/>
    <w:rsid w:val="0013097E"/>
    <w:rsid w:val="00132647"/>
    <w:rsid w:val="001336A1"/>
    <w:rsid w:val="00135555"/>
    <w:rsid w:val="001541FB"/>
    <w:rsid w:val="0015706F"/>
    <w:rsid w:val="00160C6B"/>
    <w:rsid w:val="00160EAE"/>
    <w:rsid w:val="00162B9D"/>
    <w:rsid w:val="00163610"/>
    <w:rsid w:val="001656FA"/>
    <w:rsid w:val="00172153"/>
    <w:rsid w:val="001722A8"/>
    <w:rsid w:val="0017410C"/>
    <w:rsid w:val="00175DB3"/>
    <w:rsid w:val="00182F48"/>
    <w:rsid w:val="00194DF2"/>
    <w:rsid w:val="001961D1"/>
    <w:rsid w:val="001964AD"/>
    <w:rsid w:val="001A2638"/>
    <w:rsid w:val="001A420F"/>
    <w:rsid w:val="001B27E7"/>
    <w:rsid w:val="001B6815"/>
    <w:rsid w:val="001C3D8C"/>
    <w:rsid w:val="001D13C5"/>
    <w:rsid w:val="001E075F"/>
    <w:rsid w:val="001E263C"/>
    <w:rsid w:val="001E7F6F"/>
    <w:rsid w:val="001F122D"/>
    <w:rsid w:val="001F2369"/>
    <w:rsid w:val="001F2D91"/>
    <w:rsid w:val="001F4ED2"/>
    <w:rsid w:val="001F5557"/>
    <w:rsid w:val="001F7E05"/>
    <w:rsid w:val="002019D5"/>
    <w:rsid w:val="00201D6E"/>
    <w:rsid w:val="00202333"/>
    <w:rsid w:val="0020664B"/>
    <w:rsid w:val="00207605"/>
    <w:rsid w:val="00210AEC"/>
    <w:rsid w:val="00212E5A"/>
    <w:rsid w:val="0022322E"/>
    <w:rsid w:val="002233D2"/>
    <w:rsid w:val="0022364F"/>
    <w:rsid w:val="002246BA"/>
    <w:rsid w:val="00225B23"/>
    <w:rsid w:val="00226D0E"/>
    <w:rsid w:val="00230B5E"/>
    <w:rsid w:val="00243579"/>
    <w:rsid w:val="0024396B"/>
    <w:rsid w:val="00246C8F"/>
    <w:rsid w:val="00247F1E"/>
    <w:rsid w:val="00250971"/>
    <w:rsid w:val="00252745"/>
    <w:rsid w:val="00253949"/>
    <w:rsid w:val="00255A55"/>
    <w:rsid w:val="00263205"/>
    <w:rsid w:val="00264223"/>
    <w:rsid w:val="00272D92"/>
    <w:rsid w:val="002750A6"/>
    <w:rsid w:val="00281C0F"/>
    <w:rsid w:val="0028238D"/>
    <w:rsid w:val="00282C5C"/>
    <w:rsid w:val="002854A7"/>
    <w:rsid w:val="00285642"/>
    <w:rsid w:val="00286D00"/>
    <w:rsid w:val="0028769B"/>
    <w:rsid w:val="00290D7E"/>
    <w:rsid w:val="002922EA"/>
    <w:rsid w:val="0029326F"/>
    <w:rsid w:val="00295B6D"/>
    <w:rsid w:val="00297135"/>
    <w:rsid w:val="00297F4E"/>
    <w:rsid w:val="002A1766"/>
    <w:rsid w:val="002A1985"/>
    <w:rsid w:val="002B2A4A"/>
    <w:rsid w:val="002B2BF3"/>
    <w:rsid w:val="002B566E"/>
    <w:rsid w:val="002B60A8"/>
    <w:rsid w:val="002C0B6D"/>
    <w:rsid w:val="002C1958"/>
    <w:rsid w:val="002C2A31"/>
    <w:rsid w:val="002C38DD"/>
    <w:rsid w:val="002C725D"/>
    <w:rsid w:val="002C74E9"/>
    <w:rsid w:val="002C7DC1"/>
    <w:rsid w:val="002D0B2D"/>
    <w:rsid w:val="002D11D2"/>
    <w:rsid w:val="002D1742"/>
    <w:rsid w:val="002D29A8"/>
    <w:rsid w:val="002D72DE"/>
    <w:rsid w:val="002E2EE4"/>
    <w:rsid w:val="002E437F"/>
    <w:rsid w:val="002E5433"/>
    <w:rsid w:val="002F2094"/>
    <w:rsid w:val="002F4116"/>
    <w:rsid w:val="002F49D5"/>
    <w:rsid w:val="002F5072"/>
    <w:rsid w:val="003054D1"/>
    <w:rsid w:val="00306901"/>
    <w:rsid w:val="00306B8B"/>
    <w:rsid w:val="00307D30"/>
    <w:rsid w:val="003100E1"/>
    <w:rsid w:val="003138A7"/>
    <w:rsid w:val="00314AF7"/>
    <w:rsid w:val="00315FBE"/>
    <w:rsid w:val="00317084"/>
    <w:rsid w:val="003178C1"/>
    <w:rsid w:val="00320675"/>
    <w:rsid w:val="00327649"/>
    <w:rsid w:val="0033049C"/>
    <w:rsid w:val="00331306"/>
    <w:rsid w:val="003373F4"/>
    <w:rsid w:val="00340884"/>
    <w:rsid w:val="00343631"/>
    <w:rsid w:val="00345C32"/>
    <w:rsid w:val="00346931"/>
    <w:rsid w:val="00350847"/>
    <w:rsid w:val="00353A55"/>
    <w:rsid w:val="003623E9"/>
    <w:rsid w:val="00362827"/>
    <w:rsid w:val="003657B8"/>
    <w:rsid w:val="00365C77"/>
    <w:rsid w:val="00371711"/>
    <w:rsid w:val="003854F5"/>
    <w:rsid w:val="0038706D"/>
    <w:rsid w:val="0039506E"/>
    <w:rsid w:val="00397B00"/>
    <w:rsid w:val="003A1586"/>
    <w:rsid w:val="003B0532"/>
    <w:rsid w:val="003B32D4"/>
    <w:rsid w:val="003B558D"/>
    <w:rsid w:val="003B5FC0"/>
    <w:rsid w:val="003C34AF"/>
    <w:rsid w:val="003D09A7"/>
    <w:rsid w:val="003D2432"/>
    <w:rsid w:val="003D5330"/>
    <w:rsid w:val="003E6E32"/>
    <w:rsid w:val="003F025D"/>
    <w:rsid w:val="003F0B3F"/>
    <w:rsid w:val="003F347F"/>
    <w:rsid w:val="003F4924"/>
    <w:rsid w:val="003F5E28"/>
    <w:rsid w:val="00402F5C"/>
    <w:rsid w:val="00405A2E"/>
    <w:rsid w:val="004077F5"/>
    <w:rsid w:val="00410779"/>
    <w:rsid w:val="00415FD9"/>
    <w:rsid w:val="00416CB4"/>
    <w:rsid w:val="00422405"/>
    <w:rsid w:val="00426895"/>
    <w:rsid w:val="00426B4C"/>
    <w:rsid w:val="00431F81"/>
    <w:rsid w:val="0043444B"/>
    <w:rsid w:val="0043474D"/>
    <w:rsid w:val="00440EEE"/>
    <w:rsid w:val="00441E07"/>
    <w:rsid w:val="004426E0"/>
    <w:rsid w:val="00442839"/>
    <w:rsid w:val="004444AB"/>
    <w:rsid w:val="004449A7"/>
    <w:rsid w:val="00445260"/>
    <w:rsid w:val="00445FB6"/>
    <w:rsid w:val="00445FC2"/>
    <w:rsid w:val="0045043D"/>
    <w:rsid w:val="00453992"/>
    <w:rsid w:val="00457C1D"/>
    <w:rsid w:val="004725FA"/>
    <w:rsid w:val="00472CFB"/>
    <w:rsid w:val="00472DF5"/>
    <w:rsid w:val="00473191"/>
    <w:rsid w:val="004778FE"/>
    <w:rsid w:val="00480656"/>
    <w:rsid w:val="00481EB9"/>
    <w:rsid w:val="0048709A"/>
    <w:rsid w:val="0049196D"/>
    <w:rsid w:val="00493C50"/>
    <w:rsid w:val="00494747"/>
    <w:rsid w:val="00497E20"/>
    <w:rsid w:val="004A59CF"/>
    <w:rsid w:val="004B1199"/>
    <w:rsid w:val="004B784B"/>
    <w:rsid w:val="004C243C"/>
    <w:rsid w:val="004C2D46"/>
    <w:rsid w:val="004C2E7E"/>
    <w:rsid w:val="004C6F6F"/>
    <w:rsid w:val="004D145D"/>
    <w:rsid w:val="004D1EB2"/>
    <w:rsid w:val="004D1ED0"/>
    <w:rsid w:val="004D20D2"/>
    <w:rsid w:val="004D2E59"/>
    <w:rsid w:val="004D3022"/>
    <w:rsid w:val="004D7E54"/>
    <w:rsid w:val="004E3946"/>
    <w:rsid w:val="004F1562"/>
    <w:rsid w:val="004F16FA"/>
    <w:rsid w:val="004F5600"/>
    <w:rsid w:val="004F63AB"/>
    <w:rsid w:val="004F70B0"/>
    <w:rsid w:val="005000C7"/>
    <w:rsid w:val="00510405"/>
    <w:rsid w:val="005108EF"/>
    <w:rsid w:val="005108F8"/>
    <w:rsid w:val="005126BF"/>
    <w:rsid w:val="00512D92"/>
    <w:rsid w:val="00521D9C"/>
    <w:rsid w:val="00527517"/>
    <w:rsid w:val="00527877"/>
    <w:rsid w:val="00530C86"/>
    <w:rsid w:val="00531846"/>
    <w:rsid w:val="005333AB"/>
    <w:rsid w:val="00533AAD"/>
    <w:rsid w:val="005342CA"/>
    <w:rsid w:val="00540BC6"/>
    <w:rsid w:val="00544276"/>
    <w:rsid w:val="00544B10"/>
    <w:rsid w:val="00545EB3"/>
    <w:rsid w:val="005463F6"/>
    <w:rsid w:val="00555B19"/>
    <w:rsid w:val="005561F3"/>
    <w:rsid w:val="00574BFB"/>
    <w:rsid w:val="00576099"/>
    <w:rsid w:val="00577663"/>
    <w:rsid w:val="00583F30"/>
    <w:rsid w:val="00584FDB"/>
    <w:rsid w:val="0058514C"/>
    <w:rsid w:val="00597D5F"/>
    <w:rsid w:val="005A2C2A"/>
    <w:rsid w:val="005A5F2C"/>
    <w:rsid w:val="005A69E0"/>
    <w:rsid w:val="005B265B"/>
    <w:rsid w:val="005B3950"/>
    <w:rsid w:val="005B3AC5"/>
    <w:rsid w:val="005C1D47"/>
    <w:rsid w:val="005C2CE0"/>
    <w:rsid w:val="005D0DC4"/>
    <w:rsid w:val="005D41CE"/>
    <w:rsid w:val="005D5A3C"/>
    <w:rsid w:val="005D6629"/>
    <w:rsid w:val="005E0080"/>
    <w:rsid w:val="005E0B2D"/>
    <w:rsid w:val="005E3F4B"/>
    <w:rsid w:val="005E49BE"/>
    <w:rsid w:val="005F236D"/>
    <w:rsid w:val="005F45ED"/>
    <w:rsid w:val="005F7298"/>
    <w:rsid w:val="00603179"/>
    <w:rsid w:val="0061075E"/>
    <w:rsid w:val="0061097C"/>
    <w:rsid w:val="00621387"/>
    <w:rsid w:val="00622BB3"/>
    <w:rsid w:val="00623284"/>
    <w:rsid w:val="006232E7"/>
    <w:rsid w:val="00627A79"/>
    <w:rsid w:val="00631500"/>
    <w:rsid w:val="00633AE9"/>
    <w:rsid w:val="006351FC"/>
    <w:rsid w:val="0064170F"/>
    <w:rsid w:val="00641981"/>
    <w:rsid w:val="00641DF7"/>
    <w:rsid w:val="00650F68"/>
    <w:rsid w:val="006521A0"/>
    <w:rsid w:val="00653949"/>
    <w:rsid w:val="00653D6B"/>
    <w:rsid w:val="0065487A"/>
    <w:rsid w:val="00655A60"/>
    <w:rsid w:val="00665293"/>
    <w:rsid w:val="006724F7"/>
    <w:rsid w:val="00672C1B"/>
    <w:rsid w:val="00672F9A"/>
    <w:rsid w:val="00675B69"/>
    <w:rsid w:val="006770B4"/>
    <w:rsid w:val="00682B4F"/>
    <w:rsid w:val="00687B1C"/>
    <w:rsid w:val="006903B6"/>
    <w:rsid w:val="00693310"/>
    <w:rsid w:val="00694EFF"/>
    <w:rsid w:val="006952FC"/>
    <w:rsid w:val="006962A2"/>
    <w:rsid w:val="006971E5"/>
    <w:rsid w:val="006A56DA"/>
    <w:rsid w:val="006B4CCF"/>
    <w:rsid w:val="006B66E1"/>
    <w:rsid w:val="006B7FC1"/>
    <w:rsid w:val="006C04F4"/>
    <w:rsid w:val="006C3F03"/>
    <w:rsid w:val="006C5434"/>
    <w:rsid w:val="006D4D44"/>
    <w:rsid w:val="006D6C45"/>
    <w:rsid w:val="006E1F4C"/>
    <w:rsid w:val="006E71F7"/>
    <w:rsid w:val="006F01B9"/>
    <w:rsid w:val="006F5375"/>
    <w:rsid w:val="006F7846"/>
    <w:rsid w:val="007049D2"/>
    <w:rsid w:val="0070736A"/>
    <w:rsid w:val="00713084"/>
    <w:rsid w:val="00714F1B"/>
    <w:rsid w:val="00720379"/>
    <w:rsid w:val="0073307E"/>
    <w:rsid w:val="00734710"/>
    <w:rsid w:val="00736C20"/>
    <w:rsid w:val="00737EB5"/>
    <w:rsid w:val="0074224E"/>
    <w:rsid w:val="007441EA"/>
    <w:rsid w:val="00755238"/>
    <w:rsid w:val="00764A03"/>
    <w:rsid w:val="00774BF4"/>
    <w:rsid w:val="00775947"/>
    <w:rsid w:val="00776789"/>
    <w:rsid w:val="00780F94"/>
    <w:rsid w:val="00781277"/>
    <w:rsid w:val="0078569F"/>
    <w:rsid w:val="007860FF"/>
    <w:rsid w:val="00790060"/>
    <w:rsid w:val="00790526"/>
    <w:rsid w:val="007911A3"/>
    <w:rsid w:val="0079183E"/>
    <w:rsid w:val="00792BAB"/>
    <w:rsid w:val="00796FDC"/>
    <w:rsid w:val="007A3A2B"/>
    <w:rsid w:val="007A419B"/>
    <w:rsid w:val="007A4C35"/>
    <w:rsid w:val="007A4ED6"/>
    <w:rsid w:val="007A587C"/>
    <w:rsid w:val="007C2167"/>
    <w:rsid w:val="007C2CFC"/>
    <w:rsid w:val="007C4C78"/>
    <w:rsid w:val="007D07B0"/>
    <w:rsid w:val="007D118E"/>
    <w:rsid w:val="007D1746"/>
    <w:rsid w:val="007D3483"/>
    <w:rsid w:val="007E1AEE"/>
    <w:rsid w:val="007E1D14"/>
    <w:rsid w:val="007E2C3C"/>
    <w:rsid w:val="007F2F97"/>
    <w:rsid w:val="007F6649"/>
    <w:rsid w:val="007F733A"/>
    <w:rsid w:val="007F7F0F"/>
    <w:rsid w:val="00804F22"/>
    <w:rsid w:val="00805B31"/>
    <w:rsid w:val="0080774F"/>
    <w:rsid w:val="008114E2"/>
    <w:rsid w:val="00813289"/>
    <w:rsid w:val="00813787"/>
    <w:rsid w:val="0081459C"/>
    <w:rsid w:val="008175BB"/>
    <w:rsid w:val="00821E86"/>
    <w:rsid w:val="00823CAF"/>
    <w:rsid w:val="00825A2F"/>
    <w:rsid w:val="00831251"/>
    <w:rsid w:val="00837826"/>
    <w:rsid w:val="00840618"/>
    <w:rsid w:val="00840CC6"/>
    <w:rsid w:val="0084632C"/>
    <w:rsid w:val="00850D41"/>
    <w:rsid w:val="00855A2D"/>
    <w:rsid w:val="00856D6E"/>
    <w:rsid w:val="00862E6D"/>
    <w:rsid w:val="00863CB4"/>
    <w:rsid w:val="00864532"/>
    <w:rsid w:val="0087124F"/>
    <w:rsid w:val="00872EF2"/>
    <w:rsid w:val="00882643"/>
    <w:rsid w:val="00883450"/>
    <w:rsid w:val="00886358"/>
    <w:rsid w:val="00886C5B"/>
    <w:rsid w:val="00886E42"/>
    <w:rsid w:val="0088726D"/>
    <w:rsid w:val="00892184"/>
    <w:rsid w:val="00893003"/>
    <w:rsid w:val="008A2235"/>
    <w:rsid w:val="008A22D5"/>
    <w:rsid w:val="008A3C62"/>
    <w:rsid w:val="008B1250"/>
    <w:rsid w:val="008B184C"/>
    <w:rsid w:val="008B23FE"/>
    <w:rsid w:val="008B5902"/>
    <w:rsid w:val="008B5CC4"/>
    <w:rsid w:val="008B75E3"/>
    <w:rsid w:val="008C5B5B"/>
    <w:rsid w:val="008C633A"/>
    <w:rsid w:val="008D0AE5"/>
    <w:rsid w:val="008D1917"/>
    <w:rsid w:val="008E13FD"/>
    <w:rsid w:val="008E16DA"/>
    <w:rsid w:val="008E2AD6"/>
    <w:rsid w:val="008E3636"/>
    <w:rsid w:val="008E3C19"/>
    <w:rsid w:val="008E4F0E"/>
    <w:rsid w:val="008E5075"/>
    <w:rsid w:val="008E7609"/>
    <w:rsid w:val="008F2A55"/>
    <w:rsid w:val="009017BC"/>
    <w:rsid w:val="00904D53"/>
    <w:rsid w:val="009100A1"/>
    <w:rsid w:val="00910E9E"/>
    <w:rsid w:val="00912C69"/>
    <w:rsid w:val="009237A6"/>
    <w:rsid w:val="009242F0"/>
    <w:rsid w:val="00933DB5"/>
    <w:rsid w:val="0093475D"/>
    <w:rsid w:val="00935141"/>
    <w:rsid w:val="0093762D"/>
    <w:rsid w:val="00940D20"/>
    <w:rsid w:val="00941669"/>
    <w:rsid w:val="00944492"/>
    <w:rsid w:val="009465A5"/>
    <w:rsid w:val="00947F52"/>
    <w:rsid w:val="00953117"/>
    <w:rsid w:val="00954079"/>
    <w:rsid w:val="00956777"/>
    <w:rsid w:val="00957C01"/>
    <w:rsid w:val="00961028"/>
    <w:rsid w:val="00961381"/>
    <w:rsid w:val="00961BAE"/>
    <w:rsid w:val="009640C2"/>
    <w:rsid w:val="009651BB"/>
    <w:rsid w:val="00967AE3"/>
    <w:rsid w:val="009727EB"/>
    <w:rsid w:val="00973971"/>
    <w:rsid w:val="00981371"/>
    <w:rsid w:val="00990512"/>
    <w:rsid w:val="00994E1B"/>
    <w:rsid w:val="009957BB"/>
    <w:rsid w:val="00997582"/>
    <w:rsid w:val="009A337D"/>
    <w:rsid w:val="009A4156"/>
    <w:rsid w:val="009A6901"/>
    <w:rsid w:val="009A6A72"/>
    <w:rsid w:val="009A73AD"/>
    <w:rsid w:val="009B3A4F"/>
    <w:rsid w:val="009B7579"/>
    <w:rsid w:val="009B7C7E"/>
    <w:rsid w:val="009B7EDF"/>
    <w:rsid w:val="009C26F7"/>
    <w:rsid w:val="009C4428"/>
    <w:rsid w:val="009C4E86"/>
    <w:rsid w:val="009C7D87"/>
    <w:rsid w:val="009D0B4D"/>
    <w:rsid w:val="009D2F9B"/>
    <w:rsid w:val="009D4313"/>
    <w:rsid w:val="009D4D75"/>
    <w:rsid w:val="009D756A"/>
    <w:rsid w:val="009F013C"/>
    <w:rsid w:val="009F16D6"/>
    <w:rsid w:val="00A06F5F"/>
    <w:rsid w:val="00A07C0D"/>
    <w:rsid w:val="00A104CB"/>
    <w:rsid w:val="00A11A91"/>
    <w:rsid w:val="00A12F1B"/>
    <w:rsid w:val="00A13970"/>
    <w:rsid w:val="00A162A7"/>
    <w:rsid w:val="00A20063"/>
    <w:rsid w:val="00A200DA"/>
    <w:rsid w:val="00A20D89"/>
    <w:rsid w:val="00A213E8"/>
    <w:rsid w:val="00A24289"/>
    <w:rsid w:val="00A25142"/>
    <w:rsid w:val="00A265DA"/>
    <w:rsid w:val="00A2799B"/>
    <w:rsid w:val="00A309CB"/>
    <w:rsid w:val="00A351F4"/>
    <w:rsid w:val="00A36944"/>
    <w:rsid w:val="00A40395"/>
    <w:rsid w:val="00A4059D"/>
    <w:rsid w:val="00A46FC0"/>
    <w:rsid w:val="00A50489"/>
    <w:rsid w:val="00A51A8F"/>
    <w:rsid w:val="00A606EA"/>
    <w:rsid w:val="00A62555"/>
    <w:rsid w:val="00A632F4"/>
    <w:rsid w:val="00A63D7A"/>
    <w:rsid w:val="00A71572"/>
    <w:rsid w:val="00A740DB"/>
    <w:rsid w:val="00A77AA4"/>
    <w:rsid w:val="00A8036A"/>
    <w:rsid w:val="00A815FE"/>
    <w:rsid w:val="00A81A41"/>
    <w:rsid w:val="00A81C15"/>
    <w:rsid w:val="00A876BF"/>
    <w:rsid w:val="00A93D48"/>
    <w:rsid w:val="00A955A9"/>
    <w:rsid w:val="00A97944"/>
    <w:rsid w:val="00AA2CF2"/>
    <w:rsid w:val="00AA3A47"/>
    <w:rsid w:val="00AA47B0"/>
    <w:rsid w:val="00AA5087"/>
    <w:rsid w:val="00AA6BAE"/>
    <w:rsid w:val="00AB17D1"/>
    <w:rsid w:val="00AB67E9"/>
    <w:rsid w:val="00AC2C09"/>
    <w:rsid w:val="00AD6C22"/>
    <w:rsid w:val="00AD7426"/>
    <w:rsid w:val="00AD7DD1"/>
    <w:rsid w:val="00AE058B"/>
    <w:rsid w:val="00AE0809"/>
    <w:rsid w:val="00AE34BA"/>
    <w:rsid w:val="00AE794D"/>
    <w:rsid w:val="00AF0478"/>
    <w:rsid w:val="00AF0891"/>
    <w:rsid w:val="00AF3D18"/>
    <w:rsid w:val="00AF4C2D"/>
    <w:rsid w:val="00AF5625"/>
    <w:rsid w:val="00AF6504"/>
    <w:rsid w:val="00AF682C"/>
    <w:rsid w:val="00AF72B8"/>
    <w:rsid w:val="00B04241"/>
    <w:rsid w:val="00B0770D"/>
    <w:rsid w:val="00B17FF1"/>
    <w:rsid w:val="00B24BB1"/>
    <w:rsid w:val="00B31E6B"/>
    <w:rsid w:val="00B33445"/>
    <w:rsid w:val="00B36AB2"/>
    <w:rsid w:val="00B41F52"/>
    <w:rsid w:val="00B43CAA"/>
    <w:rsid w:val="00B46105"/>
    <w:rsid w:val="00B46AEE"/>
    <w:rsid w:val="00B5006C"/>
    <w:rsid w:val="00B510C6"/>
    <w:rsid w:val="00B54429"/>
    <w:rsid w:val="00B54668"/>
    <w:rsid w:val="00B54773"/>
    <w:rsid w:val="00B55C88"/>
    <w:rsid w:val="00B64E4A"/>
    <w:rsid w:val="00B65049"/>
    <w:rsid w:val="00B720A8"/>
    <w:rsid w:val="00B75DEC"/>
    <w:rsid w:val="00B765C2"/>
    <w:rsid w:val="00B76AA3"/>
    <w:rsid w:val="00B803AD"/>
    <w:rsid w:val="00B84238"/>
    <w:rsid w:val="00B91508"/>
    <w:rsid w:val="00B91DAC"/>
    <w:rsid w:val="00B96E57"/>
    <w:rsid w:val="00BA2AB7"/>
    <w:rsid w:val="00BA7CB6"/>
    <w:rsid w:val="00BB2C86"/>
    <w:rsid w:val="00BB6EE7"/>
    <w:rsid w:val="00BC218E"/>
    <w:rsid w:val="00BC2AF6"/>
    <w:rsid w:val="00BC4622"/>
    <w:rsid w:val="00BC51E5"/>
    <w:rsid w:val="00BC629D"/>
    <w:rsid w:val="00BD159E"/>
    <w:rsid w:val="00BD488E"/>
    <w:rsid w:val="00BD79AC"/>
    <w:rsid w:val="00BE001F"/>
    <w:rsid w:val="00BE046E"/>
    <w:rsid w:val="00BE4EA8"/>
    <w:rsid w:val="00BE4EFD"/>
    <w:rsid w:val="00BE5177"/>
    <w:rsid w:val="00BE6739"/>
    <w:rsid w:val="00BF0D6B"/>
    <w:rsid w:val="00BF163B"/>
    <w:rsid w:val="00C00A5C"/>
    <w:rsid w:val="00C03F6B"/>
    <w:rsid w:val="00C04953"/>
    <w:rsid w:val="00C05F04"/>
    <w:rsid w:val="00C06A13"/>
    <w:rsid w:val="00C11595"/>
    <w:rsid w:val="00C11DD5"/>
    <w:rsid w:val="00C15056"/>
    <w:rsid w:val="00C16A40"/>
    <w:rsid w:val="00C16E24"/>
    <w:rsid w:val="00C16F45"/>
    <w:rsid w:val="00C177D6"/>
    <w:rsid w:val="00C201E8"/>
    <w:rsid w:val="00C24227"/>
    <w:rsid w:val="00C25697"/>
    <w:rsid w:val="00C31C8F"/>
    <w:rsid w:val="00C34292"/>
    <w:rsid w:val="00C35D4F"/>
    <w:rsid w:val="00C47F47"/>
    <w:rsid w:val="00C511D1"/>
    <w:rsid w:val="00C5217D"/>
    <w:rsid w:val="00C57D63"/>
    <w:rsid w:val="00C60774"/>
    <w:rsid w:val="00C65DB4"/>
    <w:rsid w:val="00C817A8"/>
    <w:rsid w:val="00C82A06"/>
    <w:rsid w:val="00C85033"/>
    <w:rsid w:val="00C91ACC"/>
    <w:rsid w:val="00C95421"/>
    <w:rsid w:val="00C95E57"/>
    <w:rsid w:val="00CA210D"/>
    <w:rsid w:val="00CA47FE"/>
    <w:rsid w:val="00CA797E"/>
    <w:rsid w:val="00CB2527"/>
    <w:rsid w:val="00CB308D"/>
    <w:rsid w:val="00CC08D3"/>
    <w:rsid w:val="00CC5152"/>
    <w:rsid w:val="00CC688E"/>
    <w:rsid w:val="00CE1A16"/>
    <w:rsid w:val="00CE7F1A"/>
    <w:rsid w:val="00CF1B7C"/>
    <w:rsid w:val="00CF63D2"/>
    <w:rsid w:val="00CF7545"/>
    <w:rsid w:val="00D00A60"/>
    <w:rsid w:val="00D069DF"/>
    <w:rsid w:val="00D107A3"/>
    <w:rsid w:val="00D1263D"/>
    <w:rsid w:val="00D164DC"/>
    <w:rsid w:val="00D22A9A"/>
    <w:rsid w:val="00D2526D"/>
    <w:rsid w:val="00D25C1B"/>
    <w:rsid w:val="00D30CB1"/>
    <w:rsid w:val="00D33FA8"/>
    <w:rsid w:val="00D34EB8"/>
    <w:rsid w:val="00D415EA"/>
    <w:rsid w:val="00D44481"/>
    <w:rsid w:val="00D44497"/>
    <w:rsid w:val="00D4531B"/>
    <w:rsid w:val="00D46293"/>
    <w:rsid w:val="00D47010"/>
    <w:rsid w:val="00D47C5C"/>
    <w:rsid w:val="00D60C4E"/>
    <w:rsid w:val="00D71050"/>
    <w:rsid w:val="00D72335"/>
    <w:rsid w:val="00D73D67"/>
    <w:rsid w:val="00D75EC4"/>
    <w:rsid w:val="00D80D65"/>
    <w:rsid w:val="00D83D61"/>
    <w:rsid w:val="00D84C50"/>
    <w:rsid w:val="00D85A8C"/>
    <w:rsid w:val="00D918B0"/>
    <w:rsid w:val="00D93578"/>
    <w:rsid w:val="00DA065C"/>
    <w:rsid w:val="00DA52E0"/>
    <w:rsid w:val="00DA61B8"/>
    <w:rsid w:val="00DB4816"/>
    <w:rsid w:val="00DC0A47"/>
    <w:rsid w:val="00DC522B"/>
    <w:rsid w:val="00DD19CB"/>
    <w:rsid w:val="00DD2FC7"/>
    <w:rsid w:val="00DE07DD"/>
    <w:rsid w:val="00DE2AE3"/>
    <w:rsid w:val="00DE617B"/>
    <w:rsid w:val="00DE7C2D"/>
    <w:rsid w:val="00DF2131"/>
    <w:rsid w:val="00DF695D"/>
    <w:rsid w:val="00DF7D3C"/>
    <w:rsid w:val="00E015BD"/>
    <w:rsid w:val="00E04830"/>
    <w:rsid w:val="00E05BCB"/>
    <w:rsid w:val="00E12176"/>
    <w:rsid w:val="00E13990"/>
    <w:rsid w:val="00E164EB"/>
    <w:rsid w:val="00E2000E"/>
    <w:rsid w:val="00E22E66"/>
    <w:rsid w:val="00E242F0"/>
    <w:rsid w:val="00E26685"/>
    <w:rsid w:val="00E27FF3"/>
    <w:rsid w:val="00E30053"/>
    <w:rsid w:val="00E3024D"/>
    <w:rsid w:val="00E3099F"/>
    <w:rsid w:val="00E35087"/>
    <w:rsid w:val="00E3541B"/>
    <w:rsid w:val="00E369C1"/>
    <w:rsid w:val="00E46526"/>
    <w:rsid w:val="00E46B0E"/>
    <w:rsid w:val="00E478DA"/>
    <w:rsid w:val="00E503A5"/>
    <w:rsid w:val="00E5104E"/>
    <w:rsid w:val="00E51DA1"/>
    <w:rsid w:val="00E52D53"/>
    <w:rsid w:val="00E541F5"/>
    <w:rsid w:val="00E54542"/>
    <w:rsid w:val="00E56D14"/>
    <w:rsid w:val="00E57A18"/>
    <w:rsid w:val="00E60E5E"/>
    <w:rsid w:val="00E61CEF"/>
    <w:rsid w:val="00E62677"/>
    <w:rsid w:val="00E7204A"/>
    <w:rsid w:val="00E7368B"/>
    <w:rsid w:val="00E835E8"/>
    <w:rsid w:val="00E84AC6"/>
    <w:rsid w:val="00E8590E"/>
    <w:rsid w:val="00E87756"/>
    <w:rsid w:val="00E91FED"/>
    <w:rsid w:val="00E9364A"/>
    <w:rsid w:val="00E943C2"/>
    <w:rsid w:val="00E94532"/>
    <w:rsid w:val="00E96FA9"/>
    <w:rsid w:val="00EA04F8"/>
    <w:rsid w:val="00EA3C44"/>
    <w:rsid w:val="00EA48F3"/>
    <w:rsid w:val="00EA6830"/>
    <w:rsid w:val="00EB1A4B"/>
    <w:rsid w:val="00EB4897"/>
    <w:rsid w:val="00EB6589"/>
    <w:rsid w:val="00EC031C"/>
    <w:rsid w:val="00EC093F"/>
    <w:rsid w:val="00EC3E36"/>
    <w:rsid w:val="00EC75DE"/>
    <w:rsid w:val="00ED0042"/>
    <w:rsid w:val="00ED4384"/>
    <w:rsid w:val="00ED47B9"/>
    <w:rsid w:val="00ED5433"/>
    <w:rsid w:val="00EE08FD"/>
    <w:rsid w:val="00EE7646"/>
    <w:rsid w:val="00EF1630"/>
    <w:rsid w:val="00EF253E"/>
    <w:rsid w:val="00EF5B8C"/>
    <w:rsid w:val="00EF7C2A"/>
    <w:rsid w:val="00F0705A"/>
    <w:rsid w:val="00F13C00"/>
    <w:rsid w:val="00F14B2B"/>
    <w:rsid w:val="00F215D6"/>
    <w:rsid w:val="00F24229"/>
    <w:rsid w:val="00F256FA"/>
    <w:rsid w:val="00F26D25"/>
    <w:rsid w:val="00F36031"/>
    <w:rsid w:val="00F36518"/>
    <w:rsid w:val="00F4293B"/>
    <w:rsid w:val="00F45F2B"/>
    <w:rsid w:val="00F54866"/>
    <w:rsid w:val="00F54C79"/>
    <w:rsid w:val="00F54CF2"/>
    <w:rsid w:val="00F54FC9"/>
    <w:rsid w:val="00F56153"/>
    <w:rsid w:val="00F61951"/>
    <w:rsid w:val="00F63E6B"/>
    <w:rsid w:val="00F671DB"/>
    <w:rsid w:val="00F71828"/>
    <w:rsid w:val="00F72DCD"/>
    <w:rsid w:val="00F75CE2"/>
    <w:rsid w:val="00F761C3"/>
    <w:rsid w:val="00F81886"/>
    <w:rsid w:val="00F82AF3"/>
    <w:rsid w:val="00F8392B"/>
    <w:rsid w:val="00F841B3"/>
    <w:rsid w:val="00F90ADB"/>
    <w:rsid w:val="00F917E8"/>
    <w:rsid w:val="00F96FF3"/>
    <w:rsid w:val="00F97EB8"/>
    <w:rsid w:val="00FA18E8"/>
    <w:rsid w:val="00FA207F"/>
    <w:rsid w:val="00FA53EB"/>
    <w:rsid w:val="00FB0B99"/>
    <w:rsid w:val="00FB4E9E"/>
    <w:rsid w:val="00FB6C21"/>
    <w:rsid w:val="00FB754C"/>
    <w:rsid w:val="00FD1B2D"/>
    <w:rsid w:val="00FD2EC3"/>
    <w:rsid w:val="00FD41EA"/>
    <w:rsid w:val="00FD51E5"/>
    <w:rsid w:val="00FE0B70"/>
    <w:rsid w:val="00FE358C"/>
    <w:rsid w:val="00FE5B31"/>
    <w:rsid w:val="00FE692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7663"/>
    <w:pPr>
      <w:spacing w:before="100" w:beforeAutospacing="1" w:after="100" w:afterAutospacing="1" w:line="240" w:lineRule="auto"/>
      <w:outlineLvl w:val="4"/>
    </w:pPr>
    <w:rPr>
      <w:rFonts w:ascii="Times New Roman" w:eastAsia="Times New Roman" w:hAnsi="Times New Roman" w:cs="Times New Roman"/>
      <w:b/>
      <w:bCs/>
      <w:sz w:val="20"/>
      <w:szCs w:val="20"/>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customStyle="1" w:styleId="Pa2">
    <w:name w:val="Pa2"/>
    <w:basedOn w:val="Normal"/>
    <w:next w:val="Normal"/>
    <w:uiPriority w:val="99"/>
    <w:rsid w:val="00531846"/>
    <w:pPr>
      <w:autoSpaceDE w:val="0"/>
      <w:autoSpaceDN w:val="0"/>
      <w:adjustRightInd w:val="0"/>
      <w:spacing w:after="0" w:line="241" w:lineRule="atLeast"/>
    </w:pPr>
    <w:rPr>
      <w:rFonts w:ascii="MetaOT-Normal" w:hAnsi="MetaOT-Normal"/>
      <w:sz w:val="24"/>
      <w:szCs w:val="24"/>
      <w:lang w:val="de-AT"/>
    </w:rPr>
  </w:style>
  <w:style w:type="character" w:customStyle="1" w:styleId="kursiv">
    <w:name w:val="kursiv"/>
    <w:basedOn w:val="DefaultParagraphFont"/>
    <w:rsid w:val="00E91FED"/>
    <w:rPr>
      <w:i/>
      <w:iCs/>
    </w:rPr>
  </w:style>
  <w:style w:type="paragraph" w:styleId="EndnoteText">
    <w:name w:val="endnote text"/>
    <w:basedOn w:val="Normal"/>
    <w:link w:val="EndnoteTextChar"/>
    <w:uiPriority w:val="99"/>
    <w:semiHidden/>
    <w:unhideWhenUsed/>
    <w:rsid w:val="00A20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0DA"/>
    <w:rPr>
      <w:sz w:val="20"/>
      <w:szCs w:val="20"/>
    </w:rPr>
  </w:style>
  <w:style w:type="character" w:styleId="EndnoteReference">
    <w:name w:val="endnote reference"/>
    <w:basedOn w:val="DefaultParagraphFont"/>
    <w:uiPriority w:val="99"/>
    <w:semiHidden/>
    <w:unhideWhenUsed/>
    <w:rsid w:val="00A200DA"/>
    <w:rPr>
      <w:vertAlign w:val="superscript"/>
    </w:rPr>
  </w:style>
  <w:style w:type="character" w:customStyle="1" w:styleId="uewtxt3">
    <w:name w:val="uewtxt3"/>
    <w:basedOn w:val="DefaultParagraphFont"/>
    <w:rsid w:val="00577663"/>
  </w:style>
  <w:style w:type="character" w:customStyle="1" w:styleId="uewlabel">
    <w:name w:val="uewlabel"/>
    <w:basedOn w:val="DefaultParagraphFont"/>
    <w:rsid w:val="00577663"/>
  </w:style>
  <w:style w:type="character" w:customStyle="1" w:styleId="uewtxt">
    <w:name w:val="uewtxt"/>
    <w:basedOn w:val="DefaultParagraphFont"/>
    <w:rsid w:val="00577663"/>
  </w:style>
  <w:style w:type="character" w:customStyle="1" w:styleId="Heading5Char">
    <w:name w:val="Heading 5 Char"/>
    <w:basedOn w:val="DefaultParagraphFont"/>
    <w:link w:val="Heading5"/>
    <w:uiPriority w:val="9"/>
    <w:rsid w:val="00577663"/>
    <w:rPr>
      <w:rFonts w:ascii="Times New Roman" w:eastAsia="Times New Roman" w:hAnsi="Times New Roman" w:cs="Times New Roman"/>
      <w:b/>
      <w:bCs/>
      <w:sz w:val="20"/>
      <w:szCs w:val="20"/>
      <w:lang w:val="de-AT" w:eastAsia="de-A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7F2F97"/>
    <w:pPr>
      <w:spacing w:after="160" w:line="240" w:lineRule="exact"/>
    </w:pPr>
    <w:rPr>
      <w:vertAlign w:val="superscript"/>
    </w:rPr>
  </w:style>
  <w:style w:type="paragraph" w:customStyle="1" w:styleId="FRAFootnoteText">
    <w:name w:val="(FRA) Footnote Text"/>
    <w:basedOn w:val="Normal"/>
    <w:link w:val="FRAFootnoteTextCarattere"/>
    <w:qFormat/>
    <w:rsid w:val="007F2F97"/>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7F2F97"/>
    <w:rPr>
      <w:rFonts w:ascii="Calibri" w:eastAsia="Calibri" w:hAnsi="Calibri" w:cs="Calibri"/>
      <w:sz w:val="18"/>
      <w:lang w:val="en-US" w:eastAsia="en-GB" w:bidi="en-US"/>
    </w:rPr>
  </w:style>
  <w:style w:type="paragraph" w:customStyle="1" w:styleId="SingleTxtG">
    <w:name w:val="_ Single Txt_G"/>
    <w:basedOn w:val="Normal"/>
    <w:link w:val="SingleTxtGChar"/>
    <w:rsid w:val="00EE08F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EE08FD"/>
    <w:rPr>
      <w:rFonts w:ascii="Times New Roman" w:eastAsia="Times New Roman" w:hAnsi="Times New Roman" w:cs="Times New Roman"/>
      <w:sz w:val="20"/>
      <w:szCs w:val="20"/>
      <w:lang w:val="en-GB"/>
    </w:rPr>
  </w:style>
  <w:style w:type="character" w:customStyle="1" w:styleId="gldsymbol">
    <w:name w:val="gldsymbol"/>
    <w:basedOn w:val="DefaultParagraphFont"/>
    <w:rsid w:val="00B72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577663"/>
    <w:pPr>
      <w:spacing w:before="100" w:beforeAutospacing="1" w:after="100" w:afterAutospacing="1" w:line="240" w:lineRule="auto"/>
      <w:outlineLvl w:val="4"/>
    </w:pPr>
    <w:rPr>
      <w:rFonts w:ascii="Times New Roman" w:eastAsia="Times New Roman" w:hAnsi="Times New Roman" w:cs="Times New Roman"/>
      <w:b/>
      <w:bCs/>
      <w:sz w:val="20"/>
      <w:szCs w:val="20"/>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paragraph" w:customStyle="1" w:styleId="Pa2">
    <w:name w:val="Pa2"/>
    <w:basedOn w:val="Normal"/>
    <w:next w:val="Normal"/>
    <w:uiPriority w:val="99"/>
    <w:rsid w:val="00531846"/>
    <w:pPr>
      <w:autoSpaceDE w:val="0"/>
      <w:autoSpaceDN w:val="0"/>
      <w:adjustRightInd w:val="0"/>
      <w:spacing w:after="0" w:line="241" w:lineRule="atLeast"/>
    </w:pPr>
    <w:rPr>
      <w:rFonts w:ascii="MetaOT-Normal" w:hAnsi="MetaOT-Normal"/>
      <w:sz w:val="24"/>
      <w:szCs w:val="24"/>
      <w:lang w:val="de-AT"/>
    </w:rPr>
  </w:style>
  <w:style w:type="character" w:customStyle="1" w:styleId="kursiv">
    <w:name w:val="kursiv"/>
    <w:basedOn w:val="DefaultParagraphFont"/>
    <w:rsid w:val="00E91FED"/>
    <w:rPr>
      <w:i/>
      <w:iCs/>
    </w:rPr>
  </w:style>
  <w:style w:type="paragraph" w:styleId="EndnoteText">
    <w:name w:val="endnote text"/>
    <w:basedOn w:val="Normal"/>
    <w:link w:val="EndnoteTextChar"/>
    <w:uiPriority w:val="99"/>
    <w:semiHidden/>
    <w:unhideWhenUsed/>
    <w:rsid w:val="00A200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00DA"/>
    <w:rPr>
      <w:sz w:val="20"/>
      <w:szCs w:val="20"/>
    </w:rPr>
  </w:style>
  <w:style w:type="character" w:styleId="EndnoteReference">
    <w:name w:val="endnote reference"/>
    <w:basedOn w:val="DefaultParagraphFont"/>
    <w:uiPriority w:val="99"/>
    <w:semiHidden/>
    <w:unhideWhenUsed/>
    <w:rsid w:val="00A200DA"/>
    <w:rPr>
      <w:vertAlign w:val="superscript"/>
    </w:rPr>
  </w:style>
  <w:style w:type="character" w:customStyle="1" w:styleId="uewtxt3">
    <w:name w:val="uewtxt3"/>
    <w:basedOn w:val="DefaultParagraphFont"/>
    <w:rsid w:val="00577663"/>
  </w:style>
  <w:style w:type="character" w:customStyle="1" w:styleId="uewlabel">
    <w:name w:val="uewlabel"/>
    <w:basedOn w:val="DefaultParagraphFont"/>
    <w:rsid w:val="00577663"/>
  </w:style>
  <w:style w:type="character" w:customStyle="1" w:styleId="uewtxt">
    <w:name w:val="uewtxt"/>
    <w:basedOn w:val="DefaultParagraphFont"/>
    <w:rsid w:val="00577663"/>
  </w:style>
  <w:style w:type="character" w:customStyle="1" w:styleId="Heading5Char">
    <w:name w:val="Heading 5 Char"/>
    <w:basedOn w:val="DefaultParagraphFont"/>
    <w:link w:val="Heading5"/>
    <w:uiPriority w:val="9"/>
    <w:rsid w:val="00577663"/>
    <w:rPr>
      <w:rFonts w:ascii="Times New Roman" w:eastAsia="Times New Roman" w:hAnsi="Times New Roman" w:cs="Times New Roman"/>
      <w:b/>
      <w:bCs/>
      <w:sz w:val="20"/>
      <w:szCs w:val="20"/>
      <w:lang w:val="de-AT" w:eastAsia="de-A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7F2F97"/>
    <w:pPr>
      <w:spacing w:after="160" w:line="240" w:lineRule="exact"/>
    </w:pPr>
    <w:rPr>
      <w:vertAlign w:val="superscript"/>
    </w:rPr>
  </w:style>
  <w:style w:type="paragraph" w:customStyle="1" w:styleId="FRAFootnoteText">
    <w:name w:val="(FRA) Footnote Text"/>
    <w:basedOn w:val="Normal"/>
    <w:link w:val="FRAFootnoteTextCarattere"/>
    <w:qFormat/>
    <w:rsid w:val="007F2F97"/>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7F2F97"/>
    <w:rPr>
      <w:rFonts w:ascii="Calibri" w:eastAsia="Calibri" w:hAnsi="Calibri" w:cs="Calibri"/>
      <w:sz w:val="18"/>
      <w:lang w:val="en-US" w:eastAsia="en-GB" w:bidi="en-US"/>
    </w:rPr>
  </w:style>
  <w:style w:type="paragraph" w:customStyle="1" w:styleId="SingleTxtG">
    <w:name w:val="_ Single Txt_G"/>
    <w:basedOn w:val="Normal"/>
    <w:link w:val="SingleTxtGChar"/>
    <w:rsid w:val="00EE08F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EE08FD"/>
    <w:rPr>
      <w:rFonts w:ascii="Times New Roman" w:eastAsia="Times New Roman" w:hAnsi="Times New Roman" w:cs="Times New Roman"/>
      <w:sz w:val="20"/>
      <w:szCs w:val="20"/>
      <w:lang w:val="en-GB"/>
    </w:rPr>
  </w:style>
  <w:style w:type="character" w:customStyle="1" w:styleId="gldsymbol">
    <w:name w:val="gldsymbol"/>
    <w:basedOn w:val="DefaultParagraphFont"/>
    <w:rsid w:val="00B7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7035">
      <w:bodyDiv w:val="1"/>
      <w:marLeft w:val="0"/>
      <w:marRight w:val="0"/>
      <w:marTop w:val="0"/>
      <w:marBottom w:val="0"/>
      <w:divBdr>
        <w:top w:val="none" w:sz="0" w:space="0" w:color="auto"/>
        <w:left w:val="none" w:sz="0" w:space="0" w:color="auto"/>
        <w:bottom w:val="none" w:sz="0" w:space="0" w:color="auto"/>
        <w:right w:val="none" w:sz="0" w:space="0" w:color="auto"/>
      </w:divBdr>
      <w:divsChild>
        <w:div w:id="1751657702">
          <w:marLeft w:val="0"/>
          <w:marRight w:val="0"/>
          <w:marTop w:val="0"/>
          <w:marBottom w:val="0"/>
          <w:divBdr>
            <w:top w:val="none" w:sz="0" w:space="0" w:color="auto"/>
            <w:left w:val="none" w:sz="0" w:space="0" w:color="auto"/>
            <w:bottom w:val="none" w:sz="0" w:space="0" w:color="auto"/>
            <w:right w:val="none" w:sz="0" w:space="0" w:color="auto"/>
          </w:divBdr>
          <w:divsChild>
            <w:div w:id="1316758456">
              <w:marLeft w:val="0"/>
              <w:marRight w:val="0"/>
              <w:marTop w:val="0"/>
              <w:marBottom w:val="0"/>
              <w:divBdr>
                <w:top w:val="none" w:sz="0" w:space="0" w:color="auto"/>
                <w:left w:val="none" w:sz="0" w:space="0" w:color="auto"/>
                <w:bottom w:val="none" w:sz="0" w:space="0" w:color="auto"/>
                <w:right w:val="none" w:sz="0" w:space="0" w:color="auto"/>
              </w:divBdr>
              <w:divsChild>
                <w:div w:id="1521697598">
                  <w:marLeft w:val="0"/>
                  <w:marRight w:val="0"/>
                  <w:marTop w:val="0"/>
                  <w:marBottom w:val="0"/>
                  <w:divBdr>
                    <w:top w:val="none" w:sz="0" w:space="0" w:color="auto"/>
                    <w:left w:val="none" w:sz="0" w:space="0" w:color="auto"/>
                    <w:bottom w:val="none" w:sz="0" w:space="0" w:color="auto"/>
                    <w:right w:val="none" w:sz="0" w:space="0" w:color="auto"/>
                  </w:divBdr>
                  <w:divsChild>
                    <w:div w:id="821889264">
                      <w:marLeft w:val="0"/>
                      <w:marRight w:val="0"/>
                      <w:marTop w:val="0"/>
                      <w:marBottom w:val="0"/>
                      <w:divBdr>
                        <w:top w:val="none" w:sz="0" w:space="0" w:color="auto"/>
                        <w:left w:val="none" w:sz="0" w:space="0" w:color="auto"/>
                        <w:bottom w:val="none" w:sz="0" w:space="0" w:color="auto"/>
                        <w:right w:val="none" w:sz="0" w:space="0" w:color="auto"/>
                      </w:divBdr>
                      <w:divsChild>
                        <w:div w:id="2091074099">
                          <w:marLeft w:val="0"/>
                          <w:marRight w:val="0"/>
                          <w:marTop w:val="0"/>
                          <w:marBottom w:val="0"/>
                          <w:divBdr>
                            <w:top w:val="none" w:sz="0" w:space="0" w:color="auto"/>
                            <w:left w:val="none" w:sz="0" w:space="0" w:color="auto"/>
                            <w:bottom w:val="none" w:sz="0" w:space="0" w:color="auto"/>
                            <w:right w:val="none" w:sz="0" w:space="0" w:color="auto"/>
                          </w:divBdr>
                          <w:divsChild>
                            <w:div w:id="1565799978">
                              <w:marLeft w:val="0"/>
                              <w:marRight w:val="0"/>
                              <w:marTop w:val="0"/>
                              <w:marBottom w:val="0"/>
                              <w:divBdr>
                                <w:top w:val="none" w:sz="0" w:space="0" w:color="auto"/>
                                <w:left w:val="none" w:sz="0" w:space="0" w:color="auto"/>
                                <w:bottom w:val="none" w:sz="0" w:space="0" w:color="auto"/>
                                <w:right w:val="none" w:sz="0" w:space="0" w:color="auto"/>
                              </w:divBdr>
                              <w:divsChild>
                                <w:div w:id="93139800">
                                  <w:marLeft w:val="0"/>
                                  <w:marRight w:val="0"/>
                                  <w:marTop w:val="0"/>
                                  <w:marBottom w:val="0"/>
                                  <w:divBdr>
                                    <w:top w:val="none" w:sz="0" w:space="0" w:color="auto"/>
                                    <w:left w:val="none" w:sz="0" w:space="0" w:color="auto"/>
                                    <w:bottom w:val="none" w:sz="0" w:space="0" w:color="auto"/>
                                    <w:right w:val="none" w:sz="0" w:space="0" w:color="auto"/>
                                  </w:divBdr>
                                  <w:divsChild>
                                    <w:div w:id="6773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60839613">
      <w:bodyDiv w:val="1"/>
      <w:marLeft w:val="0"/>
      <w:marRight w:val="0"/>
      <w:marTop w:val="0"/>
      <w:marBottom w:val="0"/>
      <w:divBdr>
        <w:top w:val="none" w:sz="0" w:space="0" w:color="auto"/>
        <w:left w:val="none" w:sz="0" w:space="0" w:color="auto"/>
        <w:bottom w:val="none" w:sz="0" w:space="0" w:color="auto"/>
        <w:right w:val="none" w:sz="0" w:space="0" w:color="auto"/>
      </w:divBdr>
      <w:divsChild>
        <w:div w:id="1433743777">
          <w:marLeft w:val="0"/>
          <w:marRight w:val="0"/>
          <w:marTop w:val="0"/>
          <w:marBottom w:val="480"/>
          <w:divBdr>
            <w:top w:val="none" w:sz="0" w:space="0" w:color="auto"/>
            <w:left w:val="none" w:sz="0" w:space="0" w:color="auto"/>
            <w:bottom w:val="none" w:sz="0" w:space="0" w:color="auto"/>
            <w:right w:val="none" w:sz="0" w:space="0" w:color="auto"/>
          </w:divBdr>
          <w:divsChild>
            <w:div w:id="1966036633">
              <w:marLeft w:val="0"/>
              <w:marRight w:val="0"/>
              <w:marTop w:val="0"/>
              <w:marBottom w:val="0"/>
              <w:divBdr>
                <w:top w:val="none" w:sz="0" w:space="0" w:color="auto"/>
                <w:left w:val="none" w:sz="0" w:space="0" w:color="auto"/>
                <w:bottom w:val="none" w:sz="0" w:space="0" w:color="auto"/>
                <w:right w:val="none" w:sz="0" w:space="0" w:color="auto"/>
              </w:divBdr>
              <w:divsChild>
                <w:div w:id="502860166">
                  <w:marLeft w:val="0"/>
                  <w:marRight w:val="0"/>
                  <w:marTop w:val="300"/>
                  <w:marBottom w:val="0"/>
                  <w:divBdr>
                    <w:top w:val="single" w:sz="6" w:space="0" w:color="C8C8C8"/>
                    <w:left w:val="single" w:sz="6" w:space="0" w:color="C8C8C8"/>
                    <w:bottom w:val="single" w:sz="6" w:space="0" w:color="C8C8C8"/>
                    <w:right w:val="single" w:sz="6" w:space="0" w:color="C8C8C8"/>
                  </w:divBdr>
                  <w:divsChild>
                    <w:div w:id="17569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50492681">
      <w:bodyDiv w:val="1"/>
      <w:marLeft w:val="0"/>
      <w:marRight w:val="0"/>
      <w:marTop w:val="0"/>
      <w:marBottom w:val="0"/>
      <w:divBdr>
        <w:top w:val="none" w:sz="0" w:space="0" w:color="auto"/>
        <w:left w:val="none" w:sz="0" w:space="0" w:color="auto"/>
        <w:bottom w:val="none" w:sz="0" w:space="0" w:color="auto"/>
        <w:right w:val="none" w:sz="0" w:space="0" w:color="auto"/>
      </w:divBdr>
      <w:divsChild>
        <w:div w:id="789670376">
          <w:marLeft w:val="0"/>
          <w:marRight w:val="0"/>
          <w:marTop w:val="0"/>
          <w:marBottom w:val="0"/>
          <w:divBdr>
            <w:top w:val="none" w:sz="0" w:space="0" w:color="auto"/>
            <w:left w:val="none" w:sz="0" w:space="0" w:color="auto"/>
            <w:bottom w:val="none" w:sz="0" w:space="0" w:color="auto"/>
            <w:right w:val="none" w:sz="0" w:space="0" w:color="auto"/>
          </w:divBdr>
          <w:divsChild>
            <w:div w:id="1893496751">
              <w:marLeft w:val="0"/>
              <w:marRight w:val="0"/>
              <w:marTop w:val="0"/>
              <w:marBottom w:val="0"/>
              <w:divBdr>
                <w:top w:val="none" w:sz="0" w:space="0" w:color="auto"/>
                <w:left w:val="none" w:sz="0" w:space="0" w:color="auto"/>
                <w:bottom w:val="none" w:sz="0" w:space="0" w:color="auto"/>
                <w:right w:val="none" w:sz="0" w:space="0" w:color="auto"/>
              </w:divBdr>
              <w:divsChild>
                <w:div w:id="237904387">
                  <w:marLeft w:val="0"/>
                  <w:marRight w:val="0"/>
                  <w:marTop w:val="0"/>
                  <w:marBottom w:val="0"/>
                  <w:divBdr>
                    <w:top w:val="none" w:sz="0" w:space="0" w:color="auto"/>
                    <w:left w:val="none" w:sz="0" w:space="0" w:color="auto"/>
                    <w:bottom w:val="none" w:sz="0" w:space="0" w:color="auto"/>
                    <w:right w:val="none" w:sz="0" w:space="0" w:color="auto"/>
                  </w:divBdr>
                  <w:divsChild>
                    <w:div w:id="1271276023">
                      <w:marLeft w:val="0"/>
                      <w:marRight w:val="0"/>
                      <w:marTop w:val="0"/>
                      <w:marBottom w:val="0"/>
                      <w:divBdr>
                        <w:top w:val="none" w:sz="0" w:space="0" w:color="auto"/>
                        <w:left w:val="none" w:sz="0" w:space="0" w:color="auto"/>
                        <w:bottom w:val="none" w:sz="0" w:space="0" w:color="auto"/>
                        <w:right w:val="none" w:sz="0" w:space="0" w:color="auto"/>
                      </w:divBdr>
                      <w:divsChild>
                        <w:div w:id="1931346903">
                          <w:marLeft w:val="0"/>
                          <w:marRight w:val="0"/>
                          <w:marTop w:val="200"/>
                          <w:marBottom w:val="0"/>
                          <w:divBdr>
                            <w:top w:val="none" w:sz="0" w:space="0" w:color="auto"/>
                            <w:left w:val="none" w:sz="0" w:space="0" w:color="auto"/>
                            <w:bottom w:val="single" w:sz="8" w:space="11" w:color="D9D9D9"/>
                            <w:right w:val="single" w:sz="8" w:space="11" w:color="D9D9D9"/>
                          </w:divBdr>
                        </w:div>
                      </w:divsChild>
                    </w:div>
                  </w:divsChild>
                </w:div>
              </w:divsChild>
            </w:div>
          </w:divsChild>
        </w:div>
      </w:divsChild>
    </w:div>
    <w:div w:id="360012606">
      <w:bodyDiv w:val="1"/>
      <w:marLeft w:val="0"/>
      <w:marRight w:val="0"/>
      <w:marTop w:val="0"/>
      <w:marBottom w:val="0"/>
      <w:divBdr>
        <w:top w:val="none" w:sz="0" w:space="0" w:color="auto"/>
        <w:left w:val="none" w:sz="0" w:space="0" w:color="auto"/>
        <w:bottom w:val="none" w:sz="0" w:space="0" w:color="auto"/>
        <w:right w:val="none" w:sz="0" w:space="0" w:color="auto"/>
      </w:divBdr>
      <w:divsChild>
        <w:div w:id="214705949">
          <w:marLeft w:val="0"/>
          <w:marRight w:val="0"/>
          <w:marTop w:val="0"/>
          <w:marBottom w:val="0"/>
          <w:divBdr>
            <w:top w:val="none" w:sz="0" w:space="0" w:color="auto"/>
            <w:left w:val="none" w:sz="0" w:space="0" w:color="auto"/>
            <w:bottom w:val="none" w:sz="0" w:space="0" w:color="auto"/>
            <w:right w:val="none" w:sz="0" w:space="0" w:color="auto"/>
          </w:divBdr>
          <w:divsChild>
            <w:div w:id="1268074271">
              <w:marLeft w:val="0"/>
              <w:marRight w:val="0"/>
              <w:marTop w:val="0"/>
              <w:marBottom w:val="0"/>
              <w:divBdr>
                <w:top w:val="none" w:sz="0" w:space="0" w:color="auto"/>
                <w:left w:val="none" w:sz="0" w:space="0" w:color="auto"/>
                <w:bottom w:val="none" w:sz="0" w:space="0" w:color="auto"/>
                <w:right w:val="none" w:sz="0" w:space="0" w:color="auto"/>
              </w:divBdr>
              <w:divsChild>
                <w:div w:id="2117796459">
                  <w:marLeft w:val="0"/>
                  <w:marRight w:val="0"/>
                  <w:marTop w:val="0"/>
                  <w:marBottom w:val="0"/>
                  <w:divBdr>
                    <w:top w:val="none" w:sz="0" w:space="0" w:color="auto"/>
                    <w:left w:val="none" w:sz="0" w:space="0" w:color="auto"/>
                    <w:bottom w:val="none" w:sz="0" w:space="0" w:color="auto"/>
                    <w:right w:val="none" w:sz="0" w:space="0" w:color="auto"/>
                  </w:divBdr>
                  <w:divsChild>
                    <w:div w:id="1403521838">
                      <w:marLeft w:val="0"/>
                      <w:marRight w:val="0"/>
                      <w:marTop w:val="0"/>
                      <w:marBottom w:val="0"/>
                      <w:divBdr>
                        <w:top w:val="none" w:sz="0" w:space="0" w:color="auto"/>
                        <w:left w:val="none" w:sz="0" w:space="0" w:color="auto"/>
                        <w:bottom w:val="none" w:sz="0" w:space="0" w:color="auto"/>
                        <w:right w:val="none" w:sz="0" w:space="0" w:color="auto"/>
                      </w:divBdr>
                      <w:divsChild>
                        <w:div w:id="128012976">
                          <w:marLeft w:val="0"/>
                          <w:marRight w:val="0"/>
                          <w:marTop w:val="0"/>
                          <w:marBottom w:val="0"/>
                          <w:divBdr>
                            <w:top w:val="none" w:sz="0" w:space="0" w:color="auto"/>
                            <w:left w:val="none" w:sz="0" w:space="0" w:color="auto"/>
                            <w:bottom w:val="none" w:sz="0" w:space="0" w:color="auto"/>
                            <w:right w:val="none" w:sz="0" w:space="0" w:color="auto"/>
                          </w:divBdr>
                          <w:divsChild>
                            <w:div w:id="2116556615">
                              <w:marLeft w:val="0"/>
                              <w:marRight w:val="0"/>
                              <w:marTop w:val="0"/>
                              <w:marBottom w:val="0"/>
                              <w:divBdr>
                                <w:top w:val="none" w:sz="0" w:space="0" w:color="auto"/>
                                <w:left w:val="none" w:sz="0" w:space="0" w:color="auto"/>
                                <w:bottom w:val="none" w:sz="0" w:space="0" w:color="auto"/>
                                <w:right w:val="none" w:sz="0" w:space="0" w:color="auto"/>
                              </w:divBdr>
                              <w:divsChild>
                                <w:div w:id="920522900">
                                  <w:marLeft w:val="0"/>
                                  <w:marRight w:val="0"/>
                                  <w:marTop w:val="0"/>
                                  <w:marBottom w:val="0"/>
                                  <w:divBdr>
                                    <w:top w:val="none" w:sz="0" w:space="0" w:color="auto"/>
                                    <w:left w:val="none" w:sz="0" w:space="0" w:color="auto"/>
                                    <w:bottom w:val="none" w:sz="0" w:space="0" w:color="auto"/>
                                    <w:right w:val="none" w:sz="0" w:space="0" w:color="auto"/>
                                  </w:divBdr>
                                  <w:divsChild>
                                    <w:div w:id="1153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348256">
      <w:bodyDiv w:val="1"/>
      <w:marLeft w:val="0"/>
      <w:marRight w:val="0"/>
      <w:marTop w:val="0"/>
      <w:marBottom w:val="0"/>
      <w:divBdr>
        <w:top w:val="none" w:sz="0" w:space="0" w:color="auto"/>
        <w:left w:val="none" w:sz="0" w:space="0" w:color="auto"/>
        <w:bottom w:val="none" w:sz="0" w:space="0" w:color="auto"/>
        <w:right w:val="none" w:sz="0" w:space="0" w:color="auto"/>
      </w:divBdr>
      <w:divsChild>
        <w:div w:id="2023898424">
          <w:marLeft w:val="0"/>
          <w:marRight w:val="0"/>
          <w:marTop w:val="0"/>
          <w:marBottom w:val="0"/>
          <w:divBdr>
            <w:top w:val="none" w:sz="0" w:space="0" w:color="auto"/>
            <w:left w:val="none" w:sz="0" w:space="0" w:color="auto"/>
            <w:bottom w:val="none" w:sz="0" w:space="0" w:color="auto"/>
            <w:right w:val="none" w:sz="0" w:space="0" w:color="auto"/>
          </w:divBdr>
          <w:divsChild>
            <w:div w:id="720902806">
              <w:marLeft w:val="0"/>
              <w:marRight w:val="0"/>
              <w:marTop w:val="0"/>
              <w:marBottom w:val="0"/>
              <w:divBdr>
                <w:top w:val="none" w:sz="0" w:space="0" w:color="auto"/>
                <w:left w:val="none" w:sz="0" w:space="0" w:color="auto"/>
                <w:bottom w:val="none" w:sz="0" w:space="0" w:color="auto"/>
                <w:right w:val="none" w:sz="0" w:space="0" w:color="auto"/>
              </w:divBdr>
              <w:divsChild>
                <w:div w:id="8662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graneal\Downloads\www.ris.bka.gv.at\GeltendeFassung.wxe%3fAbfrage=LrBgld&amp;Gesetzesnummer=10000304" TargetMode="External"/><Relationship Id="rId18" Type="http://schemas.openxmlformats.org/officeDocument/2006/relationships/hyperlink" Target="file://C:\Users\graneal\Downloads\www.ris.bka.gv.at\Dokument.wxe?Abfrage=LrStmk&amp;Dokumentnummer=LRST_0350_005&amp;ResultFunctionToken=b26df74d-95f4-4944-8f4e-d923ce976c48&amp;Position=1&amp;Titel=&amp;Typ=&amp;Index=&amp;ImRisSeit=Undefined&amp;ResultPageSize=50&amp;Suchworte=Gemeindewahlordnung+Gra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graneal\Downloads\www.ris.bka.gv.at\Dokument.wxe?Abfrage=LrVbg&amp;Dokumentnummer=LRVB_0601_000_20120817_99999999&amp;ResultFunctionToken=dad19911-55e7-452a-a53a-693149776c85&amp;Position=1&amp;Titel=&amp;Lgblnummer=&amp;Typ=&amp;Index=&amp;FassungVom=03.07.2013&amp;ImRisSeit=Undefined&amp;ResultPageSize=50&amp;Suchworte=Gemeindewahlgesetz"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graneal\Downloads\www.ris.bka.gv.at\Dokument.wxe%3fAbfrage=LrStmk&amp;Dokumentnummer=LRST_0350_004&amp;ResultFunctionToken=31923fdd-db8b-4aa0-9e65-dfee369e08e3&amp;Position=1&amp;Titel=&amp;Typ=&amp;Index=&amp;ImRisSeit=Undefined&amp;ResultPageSize=50&amp;Suchworte=GW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graneal\Downloads\www.ris.bka.gv.at\GeltendeFassung.wxe%3fAbfrage=LrOO&amp;Gesetzesnummer=10000481" TargetMode="External"/><Relationship Id="rId20" Type="http://schemas.openxmlformats.org/officeDocument/2006/relationships/hyperlink" Target="file:///C:\Users\graneal\Downloads\www.ris.bka.gv.at\Dokument.wxe%3fAbfrage=LrW&amp;Dokumentnummer=LRWI_V100_000&amp;ResultFunctionToken=c11301d4-29e8-4d55-8731-d21012b75c14&amp;Position=1&amp;Titel=&amp;Typ=&amp;Index=&amp;ImRisSeit=Undefined&amp;ResultPageSize=50&amp;Suchworte=GW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graneal\Downloads\www.ris.bka.gv.at\Dokumente\LrNo\LRNI_2011121\LRNI_2011121.html"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Users\graneal\Downloads\www.ris.bka.gv.at\GeltendeFassung.wxe%3fAbfrage=LrT&amp;Gesetzesnummer=2000018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graneal\Downloads\www.ris.bka.gv.at\GeltendeFassung.wxe%3fAbfrage=LrK&amp;Gesetzesnummer=20000047"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file:///C:\Users\graneal\Downloads\www.parlament.gv.at\PAKT\VHG\XXIV\BNR\BNR_00767\fname_310150.pdf" TargetMode="External"/><Relationship Id="rId13" Type="http://schemas.openxmlformats.org/officeDocument/2006/relationships/hyperlink" Target="http://zukunft.orf.at/show_content2.php?s2id=170" TargetMode="External"/><Relationship Id="rId18" Type="http://schemas.openxmlformats.org/officeDocument/2006/relationships/hyperlink" Target="https://www.ris.bka.gv.at/GeltendeFassung.wxe?Abfrage=Bundesnormen&amp;Gesetzesnummer=10000138%20" TargetMode="External"/><Relationship Id="rId26" Type="http://schemas.openxmlformats.org/officeDocument/2006/relationships/hyperlink" Target="file:///C:\Users\graneal\Downloads\www.ris.bka.gv.at\GeltendeFassung.wxe%3fAbfrage=Bundesnormen&amp;Gesetzesnummer=20004228" TargetMode="External"/><Relationship Id="rId3" Type="http://schemas.openxmlformats.org/officeDocument/2006/relationships/hyperlink" Target="http://treaties.un.org/Pages/ViewDetails.aspx?src=TREATY&amp;mtdsg_no=IV-15&amp;chapter=4&amp;lang=en" TargetMode="External"/><Relationship Id="rId21" Type="http://schemas.openxmlformats.org/officeDocument/2006/relationships/hyperlink" Target="file:///C:\Users\graneal\Downloads\www.ris.bka.gv.at\GeltendeFassung.wxe%3fAbfrage=Bundesnormen&amp;Gesetzesnummer=10008713" TargetMode="External"/><Relationship Id="rId7" Type="http://schemas.openxmlformats.org/officeDocument/2006/relationships/hyperlink" Target="https://www.ris.bka.gv.at/GeltendeFassung.wxe?Abfrage=Bundesnormen&amp;Gesetzesnummer=10000138%20" TargetMode="External"/><Relationship Id="rId12" Type="http://schemas.openxmlformats.org/officeDocument/2006/relationships/hyperlink" Target="http://www.ris.bka.gv.at/GeltendeFassung.wxe?Abfrage=Bundesnormen&amp;Gesetzesnummer=10000785" TargetMode="External"/><Relationship Id="rId17" Type="http://schemas.openxmlformats.org/officeDocument/2006/relationships/hyperlink" Target="http://www.bmask.gv.at/cms/site/attachments/7/4/9/CH2092/CMS1359980335644/nap_behinderung-web_2013-01-30_eng.pdf" TargetMode="External"/><Relationship Id="rId25" Type="http://schemas.openxmlformats.org/officeDocument/2006/relationships/hyperlink" Target="file:///C:\Users\graneal\Downloads\www.bmask.gv.at\cms\site\attachments\7\4\9\CH2092\CMS1359980335644\nap_behinderung-web_2013-01-30_eng.pdf"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file:///C:\Users\graneal\Downloads\www.ris.bka.gv.at\GeltendeFassung.wxe%3fAbfrage=Bundesnormen&amp;Gesetzesnummer=10001199" TargetMode="External"/><Relationship Id="rId20" Type="http://schemas.openxmlformats.org/officeDocument/2006/relationships/hyperlink" Target="https://www.bmask.gv.at/cms/site/attachments/1/1/5/CH2081/CMS1343116498970/120725_nap_web.pdf"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file:///C:\Users\graneal\Downloads\www.help.gv.at\Portal.Node\hlpd\public\content\32\Seite.320340.html" TargetMode="External"/><Relationship Id="rId11" Type="http://schemas.openxmlformats.org/officeDocument/2006/relationships/hyperlink" Target="file:///C:\Users\graneal\Downloads\www.ris.bka.gv.at\GeltendeFassung.wxe%3fAbfrage=Bundesnormen&amp;Gesetzesnummer=10005522" TargetMode="External"/><Relationship Id="rId24" Type="http://schemas.openxmlformats.org/officeDocument/2006/relationships/hyperlink" Target="file:///C:\Users\graneal\Downloads\www.digitales.oesterreich.gv.at\site\5884\default.aspx" TargetMode="External"/><Relationship Id="rId5" Type="http://schemas.openxmlformats.org/officeDocument/2006/relationships/hyperlink" Target="file:///C:\Users\graneal\Downloads\www.parlament.gv.at\PAKT\VHG\XXIV\BNR\BNR_00767\fname_310150.pdf" TargetMode="External"/><Relationship Id="rId15" Type="http://schemas.openxmlformats.org/officeDocument/2006/relationships/hyperlink" Target="file:///C:\Users\graneal\Downloads\www.ris.bka.gv.at\GeltendeFassung.wxe%3fAbfrage=Bundesnormen&amp;Gesetzesnummer=10001436" TargetMode="External"/><Relationship Id="rId23" Type="http://schemas.openxmlformats.org/officeDocument/2006/relationships/hyperlink" Target="file:///C:\Users\graneal\Downloads\www.salzburg.gv.at\buerger-service\ls-az\ls-fg\ls-gemeinden.htm" TargetMode="External"/><Relationship Id="rId28" Type="http://schemas.openxmlformats.org/officeDocument/2006/relationships/hyperlink" Target="file:///C:\Users\graneal\Downloads\www.bmask.gv.at\cms\site\attachments\7\4\9\CH2092\CMS1359980335644\nap_behinderung-web_2013-01-30_eng.pdf" TargetMode="External"/><Relationship Id="rId10" Type="http://schemas.openxmlformats.org/officeDocument/2006/relationships/hyperlink" Target="http://www.bmask.gv.at/cms/site/attachments/7/4/9/CH2092/CMS1359980335644/nap_behinderung-web_2013-01-30_eng.pdf" TargetMode="External"/><Relationship Id="rId19" Type="http://schemas.openxmlformats.org/officeDocument/2006/relationships/hyperlink" Target="http://www.parlament.gv.at/PAKT/VHG/XXV/ME/ME_00025/index.shtml%20" TargetMode="External"/><Relationship Id="rId4" Type="http://schemas.openxmlformats.org/officeDocument/2006/relationships/hyperlink" Target="file:///C:\Users\graneal\Downloads\www.ris.bka.gv.at\GeltendeFassung.wxe%3fAbfrage=Bundesnormen&amp;Gesetzesnummer=10001436" TargetMode="External"/><Relationship Id="rId9" Type="http://schemas.openxmlformats.org/officeDocument/2006/relationships/hyperlink" Target="http://www.ris.bka.gv.at/GeltendeFassung.wxe?Abfrage=Bundesnormen&amp;Gesetzesnummer=20004228" TargetMode="External"/><Relationship Id="rId14" Type="http://schemas.openxmlformats.org/officeDocument/2006/relationships/hyperlink" Target="http://www.ris.bka.gv.at/GeltendeFassung.wxe?Abfrage=Bundesnormen&amp;Gesetzesnummer=20004228&amp;ShowPrintPreview=True" TargetMode="External"/><Relationship Id="rId22" Type="http://schemas.openxmlformats.org/officeDocument/2006/relationships/hyperlink" Target="file:///C:\Users\graneal\Downloads\www.monitoringausschuss.at\sym\monitoringausschuss\Stellungnahmen" TargetMode="External"/><Relationship Id="rId27" Type="http://schemas.openxmlformats.org/officeDocument/2006/relationships/hyperlink" Target="file:///C:\Users\graneal\Downloads\www.help.gv.at\Portal.Node\hlpd\public\content\127\Seite.1270100.html%23B1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D-2014-35260</_dlc_DocId>
    <_dlc_DocIdUrl xmlns="16097700-bd0a-4b4b-83d5-90842b5175e0">
      <Url>http://dms/research/polparprojectsite/_layouts/DocIdRedir.aspx?ID=D-2014-35260</Url>
      <Description>D-2014-35260</Description>
    </_dlc_DocIdUrl>
    <fraPermissions xmlns="16097700-bd0a-4b4b-83d5-90842b5175e0">Public: Read for all, write dept.</fraPermissions>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EF09-6FEC-41D7-951A-6B8633BA5F8E}">
  <ds:schemaRefs>
    <ds:schemaRef ds:uri="http://schemas.microsoft.com/sharepoint/events"/>
  </ds:schemaRefs>
</ds:datastoreItem>
</file>

<file path=customXml/itemProps2.xml><?xml version="1.0" encoding="utf-8"?>
<ds:datastoreItem xmlns:ds="http://schemas.openxmlformats.org/officeDocument/2006/customXml" ds:itemID="{3C564F12-C385-4DE4-8EFA-24ECD13430A8}">
  <ds:schemaRefs>
    <ds:schemaRef ds:uri="http://schemas.microsoft.com/sharepoint/v3/contenttype/forms"/>
  </ds:schemaRefs>
</ds:datastoreItem>
</file>

<file path=customXml/itemProps3.xml><?xml version="1.0" encoding="utf-8"?>
<ds:datastoreItem xmlns:ds="http://schemas.openxmlformats.org/officeDocument/2006/customXml" ds:itemID="{5EE73BFF-42CF-4EC7-9632-7B9327AC585E}">
  <ds:schemaRefs>
    <ds:schemaRef ds:uri="http://schemas.microsoft.com/office/infopath/2007/PartnerControls"/>
    <ds:schemaRef ds:uri="http://purl.org/dc/dcmitype/"/>
    <ds:schemaRef ds:uri="http://schemas.microsoft.com/sharepoint/v3"/>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16097700-bd0a-4b4b-83d5-90842b5175e0"/>
    <ds:schemaRef ds:uri="http://schemas.microsoft.com/office/2006/metadata/properties"/>
  </ds:schemaRefs>
</ds:datastoreItem>
</file>

<file path=customXml/itemProps4.xml><?xml version="1.0" encoding="utf-8"?>
<ds:datastoreItem xmlns:ds="http://schemas.openxmlformats.org/officeDocument/2006/customXml" ds:itemID="{4A0502BD-A5ED-43D4-AB41-30850FBA6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D19006-F70A-4638-B62C-710303AD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6384</Words>
  <Characters>36395</Characters>
  <Application>Microsoft Office Word</Application>
  <DocSecurity>0</DocSecurity>
  <Lines>303</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Final country tables clean versions</vt:lpstr>
      <vt:lpstr>Revised AD-HOC deliverables</vt:lpstr>
    </vt:vector>
  </TitlesOfParts>
  <Company>European Union Fundamental Rights Agency</Company>
  <LinksUpToDate>false</LinksUpToDate>
  <CharactersWithSpaces>42694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2014-04-14T09:27:00Z</cp:lastPrinted>
  <dcterms:created xsi:type="dcterms:W3CDTF">2014-07-09T10:44:00Z</dcterms:created>
  <dcterms:modified xsi:type="dcterms:W3CDTF">2014-07-09T10:44:00Z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b861ecd9-f67e-48a0-9543-17750fb25157</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Order">
    <vt:r8>200</vt:r8>
  </property>
  <property fmtid="{D5CDD505-2E9C-101B-9397-08002B2CF9AE}" pid="9" name="fraMatrixProject">
    <vt:lpwstr>3665;#2012-ECR-07 - Indicators on political participation of persons with disabilities|3ba2f83a-f807-452a-a4c3-e61dab7d65c2</vt:lpwstr>
  </property>
  <property fmtid="{D5CDD505-2E9C-101B-9397-08002B2CF9AE}" pid="10" name="fraDepartmentSiteMM">
    <vt:lpwstr>3063;#Research|63c432e6-ebe7-4030-9f7b-2bd4d556aa4a</vt:lpwstr>
  </property>
</Properties>
</file>